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12730</w:t>
      </w:r>
    </w:p>
    <w:p>
      <w:r>
        <w:t>Visit Number: 35b2988a90875f37e9f00af738b6af2dc36b29376bab79a7e5c6619c696c5d71</w:t>
      </w:r>
    </w:p>
    <w:p>
      <w:r>
        <w:t>Masked_PatientID: 12711</w:t>
      </w:r>
    </w:p>
    <w:p>
      <w:r>
        <w:t>Order ID: 4d0e6d34df2f895beaf32f2586cfe2caf8ed427106cb20cdfa0e17b53ca07f86</w:t>
      </w:r>
    </w:p>
    <w:p>
      <w:r>
        <w:t>Order Name: Chest X-ray</w:t>
      </w:r>
    </w:p>
    <w:p>
      <w:r>
        <w:t>Result Item Code: CHE-NOV</w:t>
      </w:r>
    </w:p>
    <w:p>
      <w:r>
        <w:t>Performed Date Time: 19/8/2015 9:05</w:t>
      </w:r>
    </w:p>
    <w:p>
      <w:r>
        <w:t>Line Num: 1</w:t>
      </w:r>
    </w:p>
    <w:p>
      <w:r>
        <w:t>Text:       HISTORY post CABG REPORT The prior chest radiograph dated 17 August 2015 is reviewed. Evidence of CABG is noted.  A dual-chamber left-sided pacemaker device is seen, and  the positions of the leads are largely unchanged.   The tip of the endotracheal tube is low lying, approximately 1.1cm above the carina.  Slightly withdrawal is advised for optimal positioning. The tip of the left internal  jugular central venous catheter is projected over the right atrium. The position  of the nasogastric tube is largely unchanged. There is a left pleural effusion with airspace shadowing in the left lower zone/retrocardiac  region. The cardiac silhouette cannot be accurately assessed on supine projection.  The thoracic  aorta is unfolded. Surgical staples projected over the mid abdomen are noted. There is apparent bony erosion at the lateral end of the right clavicle.   Further action or early intervention required Finalised by: &lt;DOCTOR&gt;</w:t>
      </w:r>
    </w:p>
    <w:p>
      <w:r>
        <w:t>Accession Number: f7d81cc674fb2db51d1d3c1549a21a79a4d33a3c0785b9c4bf8cb4d8aa432fe1</w:t>
      </w:r>
    </w:p>
    <w:p>
      <w:r>
        <w:t>Updated Date Time: 20/8/2015 14:58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