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12766</w:t>
      </w:r>
    </w:p>
    <w:p>
      <w:r>
        <w:t>Visit Number: 0f85424abbd37214b812cdce36bfd294f1d5e5cb09e9578840914edcec4d3433</w:t>
      </w:r>
    </w:p>
    <w:p>
      <w:r>
        <w:t>Masked_PatientID: 12765</w:t>
      </w:r>
    </w:p>
    <w:p>
      <w:r>
        <w:t>Order ID: f86456143e4029c8a833d57cd40354461f5a839c1d619415eae24859d31a93b0</w:t>
      </w:r>
    </w:p>
    <w:p>
      <w:r>
        <w:t>Order Name: Chest X-ray</w:t>
      </w:r>
    </w:p>
    <w:p>
      <w:r>
        <w:t>Result Item Code: CHE-NOV</w:t>
      </w:r>
    </w:p>
    <w:p>
      <w:r>
        <w:t>Performed Date Time: 22/11/2016 17:04</w:t>
      </w:r>
    </w:p>
    <w:p>
      <w:r>
        <w:t>Line Num: 1</w:t>
      </w:r>
    </w:p>
    <w:p>
      <w:r>
        <w:t>Text:       HISTORY left cap REPORT  Comparison dated 18/10/2016. The lung volumes are mildly reduced, likely secondary to poor inspiratory effort.   The cardiac silhouette cannot be adequately assessed on this projection.  There  is mild prominence of the mediastinal contour, likely due to overlapping vascular  shadows. There is mild perihilar vascular congestion.  A patchy left retrocardiac opacity  may represent developing infection, radiographic follow-up is recommended.  No sizable  pleural effusion or pneumothorax is detected.  Soft tissues and osseous structures  remain unchanged.   May need further action Finalised by: &lt;DOCTOR&gt;</w:t>
      </w:r>
    </w:p>
    <w:p>
      <w:r>
        <w:t>Accession Number: 8a5ba1c4d94d76e73a9d51afeefc0ad28f4670bb4d5d163e424ded9d762a49eb</w:t>
      </w:r>
    </w:p>
    <w:p>
      <w:r>
        <w:t>Updated Date Time: 23/11/2016 10:42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