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12800</w:t>
      </w:r>
    </w:p>
    <w:p>
      <w:r>
        <w:t>Visit Number: d2ca4d0aad11adcc81c057296a7674e78660411e09f6b524c11a0efed5720663</w:t>
      </w:r>
    </w:p>
    <w:p>
      <w:r>
        <w:t>Masked_PatientID: 12800</w:t>
      </w:r>
    </w:p>
    <w:p>
      <w:r>
        <w:t>Order ID: 69188cec3abc31d09a7f667738e55449466b59c785c0f3c98b3bd30ed3009295</w:t>
      </w:r>
    </w:p>
    <w:p>
      <w:r>
        <w:t>Order Name: Chest X-ray</w:t>
      </w:r>
    </w:p>
    <w:p>
      <w:r>
        <w:t>Result Item Code: CHE-NOV</w:t>
      </w:r>
    </w:p>
    <w:p>
      <w:r>
        <w:t>Performed Date Time: 06/6/2018 12:07</w:t>
      </w:r>
    </w:p>
    <w:p>
      <w:r>
        <w:t>Line Num: 1</w:t>
      </w:r>
    </w:p>
    <w:p>
      <w:r>
        <w:t>Text:       HISTORY CXR to reassess fluid status REPORT  Comparison dated 23/05/2018. The trachea is midline.  Cardiac silhouette is mildly enlarged.  The thoracic aorta  is unfolded with mural atherosclerotic calcifications. Compared tothe prior study, there is interval improvement in the degree of pulmonary  oedema, with improved aeration at both lung bases.  Bilateral pleural effusions are  nearly resolved.  No new focal consolidation or pneumothorax is demonstrated. Soft tissues and osseous structures remain unchanged from prior.  Degenerative changes  are noted of the imaged spine.   Known / Minor  Reported by: &lt;DOCTOR&gt;</w:t>
      </w:r>
    </w:p>
    <w:p>
      <w:r>
        <w:t>Accession Number: fdcc4ffee22e5cbfcefb6d3bb22ea19b3647c6600397f43c73c767d43d7a3611</w:t>
      </w:r>
    </w:p>
    <w:p>
      <w:r>
        <w:t>Updated Date Time: 06/6/2018 18:33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