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12915</w:t>
      </w:r>
    </w:p>
    <w:p>
      <w:r>
        <w:t>Visit Number: 5315146a8f5c5804fc3833b70f386fe250ec58c64c6cfe176f9154cc7752bb75</w:t>
      </w:r>
    </w:p>
    <w:p>
      <w:r>
        <w:t>Masked_PatientID: 12893</w:t>
      </w:r>
    </w:p>
    <w:p>
      <w:r>
        <w:t>Order ID: 8438bc4b33b1f24b5e02c5234b0e5b8340e699f451fe5dc6c8be160a097c42db</w:t>
      </w:r>
    </w:p>
    <w:p>
      <w:r>
        <w:t>Order Name: Chest X-ray, Erect</w:t>
      </w:r>
    </w:p>
    <w:p>
      <w:r>
        <w:t>Result Item Code: CHE-ER</w:t>
      </w:r>
    </w:p>
    <w:p>
      <w:r>
        <w:t>Performed Date Time: 18/2/2020 12:41</w:t>
      </w:r>
    </w:p>
    <w:p>
      <w:r>
        <w:t>Line Num: 1</w:t>
      </w:r>
    </w:p>
    <w:p>
      <w:r>
        <w:t>Text: HISTORY  SOB ?  cause REPORT Previous chest radiograph dated 5 February 2020 was reviewed. Diffuse air space opacities are noted in both lungs appearing more confluent in the  perihilar regions. Appearances may be due to underlying infection. There is evidence  of pulmonary venous congestion. Small right and trace left pleural effusions are  present.  The heart size cannot be accurately assessed. Old bilateral rib fractures are noted.  Chronic fracture of the right distal clavicle. Report Indicator: Further action or early intervention required Finalised by: &lt;DOCTOR&gt;</w:t>
      </w:r>
    </w:p>
    <w:p>
      <w:r>
        <w:t>Accession Number: 102f0012a477d6ab62c963cbd786f7bf1fd55786c89f679b92d11050519c4340</w:t>
      </w:r>
    </w:p>
    <w:p>
      <w:r>
        <w:t>Updated Date Time: 18/2/2020 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