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12914</w:t>
      </w:r>
    </w:p>
    <w:p>
      <w:r>
        <w:t>Visit Number: cd8ac2a021ee9679c4dedaa8a1026b1eb2bd840faaf64aaf5f5854a090d54620</w:t>
      </w:r>
    </w:p>
    <w:p>
      <w:r>
        <w:t>Masked_PatientID: 12893</w:t>
      </w:r>
    </w:p>
    <w:p>
      <w:r>
        <w:t>Order ID: d9c98b1cfb40197a11104446811fe1e65b5e063cc9be980f42198b7fa9313cef</w:t>
      </w:r>
    </w:p>
    <w:p>
      <w:r>
        <w:t>Order Name: Chest X-ray, Erect</w:t>
      </w:r>
    </w:p>
    <w:p>
      <w:r>
        <w:t>Result Item Code: CHE-ER</w:t>
      </w:r>
    </w:p>
    <w:p>
      <w:r>
        <w:t>Performed Date Time: 31/1/2020 15:34</w:t>
      </w:r>
    </w:p>
    <w:p>
      <w:r>
        <w:t>Line Num: 1</w:t>
      </w:r>
    </w:p>
    <w:p>
      <w:r>
        <w:t>Text: HISTORY  fever, bilateral knee pain REPORT Comparison is made with prior chest radiograph dated 24 November 2016. The heart size cannot be accurately assessed due to AP projection. Mural calcification  and unfolding of the thoracic aorta is noted. Mildly increased air space shadowing in the left mid to lower zones may represent  early infective change. Clinical correlation is recommended. No pleural effusion  is detected. Old bilateral rib fractures are noted. Degenerative changeof the imaged spine is  noted. Report Indicator: May need further action Finalised by: &lt;DOCTOR&gt;</w:t>
      </w:r>
    </w:p>
    <w:p>
      <w:r>
        <w:t>Accession Number: 1d566b0b863ce6528de68192a57c1736ab305643c4774eef50930e06c9d9beee</w:t>
      </w:r>
    </w:p>
    <w:p>
      <w:r>
        <w:t>Updated Date Time: 31/1/2020 21:29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