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12934</w:t>
      </w:r>
    </w:p>
    <w:p>
      <w:r>
        <w:t>Visit Number: 2b1160775b82acb966926ccc5df53beb01213c2a5ae56f2a351a888b6d26f034</w:t>
      </w:r>
    </w:p>
    <w:p>
      <w:r>
        <w:t>Masked_PatientID: 12930</w:t>
      </w:r>
    </w:p>
    <w:p>
      <w:r>
        <w:t>Order ID: 00b7ccc7c2e91b5ebf9b9237169850779580766846968a245cb0bcc667b4da35</w:t>
      </w:r>
    </w:p>
    <w:p>
      <w:r>
        <w:t>Order Name: Chest X-ray, Erect</w:t>
      </w:r>
    </w:p>
    <w:p>
      <w:r>
        <w:t>Result Item Code: CHE-ER</w:t>
      </w:r>
    </w:p>
    <w:p>
      <w:r>
        <w:t>Performed Date Time: 02/5/2017 15:34</w:t>
      </w:r>
    </w:p>
    <w:p>
      <w:r>
        <w:t>Line Num: 1</w:t>
      </w:r>
    </w:p>
    <w:p>
      <w:r>
        <w:t>Text:       HISTORY fluid overload REPORT The chest radiograph of 4 March 2016 was reviewed. Status post CABG.  Two prosthetic heart valves are in situ. The heart is enlarged.  The aorta is unfolded and calcified. Air space opacities are seen in the left lower zone. Bilateral pleural effusions  are noted, larger on the left.  The pulmonary vasculature is prominent. The findings  are compatible with a fluid overload state although a superimposed infection cannot  be excluded. Degenerative changes are seen in the spine.  An old right 6th rib fracture is evident.   Further action or early intervention required Finalised by: &lt;DOCTOR&gt;</w:t>
      </w:r>
    </w:p>
    <w:p>
      <w:r>
        <w:t>Accession Number: 8fe2b403b3e9267d7f32df609b2bc36f77357ea5f3d14e5f474a5ef14dd96ec5</w:t>
      </w:r>
    </w:p>
    <w:p>
      <w:r>
        <w:t>Updated Date Time: 02/5/2017 22:17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