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12961</w:t>
      </w:r>
    </w:p>
    <w:p>
      <w:r>
        <w:t>Visit Number: faa0c2570a018cf687e73b1e8051ffa8c9a4191a54c42cbf07dcdfb0e873b75e</w:t>
      </w:r>
    </w:p>
    <w:p>
      <w:r>
        <w:t>Masked_PatientID: 12954</w:t>
      </w:r>
    </w:p>
    <w:p>
      <w:r>
        <w:t>Order ID: d2a3af9246e6500751440c0fa93d4649f7886ba29898a2ed2f39ceafe2a08a66</w:t>
      </w:r>
    </w:p>
    <w:p>
      <w:r>
        <w:t>Order Name: Chest X-ray</w:t>
      </w:r>
    </w:p>
    <w:p>
      <w:r>
        <w:t>Result Item Code: CHE-NOV</w:t>
      </w:r>
    </w:p>
    <w:p>
      <w:r>
        <w:t>Performed Date Time: 11/10/2016 10:06</w:t>
      </w:r>
    </w:p>
    <w:p>
      <w:r>
        <w:t>Line Num: 1</w:t>
      </w:r>
    </w:p>
    <w:p>
      <w:r>
        <w:t>Text:       HISTORY Previous parapneumonic effusion REPORT  Comparison made previous study dated 1 August 2016. Cardiac size within normal limits.  Persistent ovoid opacity projected over the right  mid zone perihilar region, representing aloculated effusion, is smaller now measuring  approximately 4.0 x 2.6 cm. Right costophrenic angle is blunted.   May need further action Finalised by: &lt;DOCTOR&gt;</w:t>
      </w:r>
    </w:p>
    <w:p>
      <w:r>
        <w:t>Accession Number: c3fba163e2b2a15b488bace7d3250b19b878b34b0e8dac47ff8089ffa9e61d1d</w:t>
      </w:r>
    </w:p>
    <w:p>
      <w:r>
        <w:t>Updated Date Time: 11/10/2016 10:50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