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13019</w:t>
      </w:r>
    </w:p>
    <w:p>
      <w:r>
        <w:t>Visit Number: b53d83ec10893caa057c3fc0aa931f3bc5ce2ab48d716c72e1106a48b90ce4bd</w:t>
      </w:r>
    </w:p>
    <w:p>
      <w:r>
        <w:t>Masked_PatientID: 13016</w:t>
      </w:r>
    </w:p>
    <w:p>
      <w:r>
        <w:t>Order ID: 0847ae18e829b9f36540d64a275fcddf6d193e84ad28b4f1074485cb3bf668ef</w:t>
      </w:r>
    </w:p>
    <w:p>
      <w:r>
        <w:t>Order Name: Chest X-ray, Erect</w:t>
      </w:r>
    </w:p>
    <w:p>
      <w:r>
        <w:t>Result Item Code: CHE-ER</w:t>
      </w:r>
    </w:p>
    <w:p>
      <w:r>
        <w:t>Performed Date Time: 26/12/2015 12:18</w:t>
      </w:r>
    </w:p>
    <w:p>
      <w:r>
        <w:t>Line Num: 1</w:t>
      </w:r>
    </w:p>
    <w:p>
      <w:r>
        <w:t>Text:       HISTORY SOB REPORT   Chest AP sitting Previous radiograph done on 25 December 2014 was reviewed.  Cardiac size cannot be  accurately assessed.  Interval development of multifocal air space opacities in bilateral  lungs may be due to infective aetiology. Blunting of the right costophrenic angle  may represent minimal effusion.   May need further action Finalised by: &lt;DOCTOR&gt;</w:t>
      </w:r>
    </w:p>
    <w:p>
      <w:r>
        <w:t>Accession Number: ee5c3f59533187020b5104f08ca123e4df4e464f1b1d40dda90a1423f8cdb4bd</w:t>
      </w:r>
    </w:p>
    <w:p>
      <w:r>
        <w:t>Updated Date Time: 26/12/2015 17:33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