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13045</w:t>
      </w:r>
    </w:p>
    <w:p>
      <w:r>
        <w:t>Visit Number: 46a0a2cdc78ee14a8498a2a64f595ae910fba1b099da5a77012a65d935ee28d3</w:t>
      </w:r>
    </w:p>
    <w:p>
      <w:r>
        <w:t>Masked_PatientID: 13043</w:t>
      </w:r>
    </w:p>
    <w:p>
      <w:r>
        <w:t>Order ID: 233df223a601d054683f34515966e7dd59b4e309c77094de7a555a6b95ff8dd4</w:t>
      </w:r>
    </w:p>
    <w:p>
      <w:r>
        <w:t>Order Name: CT Chest or Thorax</w:t>
      </w:r>
    </w:p>
    <w:p>
      <w:r>
        <w:t>Result Item Code: CTCHE</w:t>
      </w:r>
    </w:p>
    <w:p>
      <w:r>
        <w:t>Performed Date Time: 13/3/2016 10:26</w:t>
      </w:r>
    </w:p>
    <w:p>
      <w:r>
        <w:t>Line Num: 1</w:t>
      </w:r>
    </w:p>
    <w:p>
      <w:r>
        <w:t>Text:       HISTORY Type 1 RF secondary to fluid overload/ pneumonia. Pneumonia/ saturation not improving  despite antibiotics and negative balance of 7L. TECHNIQUE Scans acquired as per department protocol. Intravenous contrast: nil  FINDINGS  CT of 16/02/2016 was reviewed. There are extensive new ground-glass changes with small foci of consolidation seen  throughout both lungs.    There is sliver of left pleural effusion. There are several small volume mediastinal lymph nodesbut none enlarged based on  size criteria.  No significantly intrathoracic lymph node is seen. History of prior graft repair of the ascending aorta is noted.  On this noncontrast  scan, the appearance of the thoracic aorta and graft are relativelyunchanged.  Intraluminal  calcifications at the proximal abdominal aorta was seen previously to be calcifications  at the internal flap.  There are cardiomegaly and coronary arterial calcifications.   There is no pericardial effusion. Stable 18x 16 mm right adrenal nodule. No bony destruction is identified.  Sternal wires in situ. CONCLUSION There is extensive ground-glass changes and some patchy consolidation in both lungs.   Clinical correlation to ascertain the aetiology is advised. Minimal left pleural effusion.   May need further action Finalised by: &lt;DOCTOR&gt;</w:t>
      </w:r>
    </w:p>
    <w:p>
      <w:r>
        <w:t>Accession Number: ce5bbf73d6f7542fa2fc38486a99b293944922a4cc3e6cee4dcc88593e39f9c0</w:t>
      </w:r>
    </w:p>
    <w:p>
      <w:r>
        <w:t>Updated Date Time: 13/3/2016 12:32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