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13049</w:t>
      </w:r>
    </w:p>
    <w:p>
      <w:r>
        <w:t>Visit Number: 46a0a2cdc78ee14a8498a2a64f595ae910fba1b099da5a77012a65d935ee28d3</w:t>
      </w:r>
    </w:p>
    <w:p>
      <w:r>
        <w:t>Masked_PatientID: 13043</w:t>
      </w:r>
    </w:p>
    <w:p>
      <w:r>
        <w:t>Order ID: 8db6062cf903b78ddac9ee3e67bb8bc2f148fa4172e4c7a136d59df2577e39e7</w:t>
      </w:r>
    </w:p>
    <w:p>
      <w:r>
        <w:t>Order Name: Chest X-ray, Erect</w:t>
      </w:r>
    </w:p>
    <w:p>
      <w:r>
        <w:t>Result Item Code: CHE-ER</w:t>
      </w:r>
    </w:p>
    <w:p>
      <w:r>
        <w:t>Performed Date Time: 17/3/2016 10:39</w:t>
      </w:r>
    </w:p>
    <w:p>
      <w:r>
        <w:t>Line Num: 1</w:t>
      </w:r>
    </w:p>
    <w:p>
      <w:r>
        <w:t>Text:       HISTORY post hd now REPORT Previous chest radiograph dated 15 March 2016 was reviewed. There is interval removal of the endotracheal tube.  The tip of the nasogastric tube  lies below the diaphragm the on the margins of this radiograph.  Median sternotomy  wires and mediastinal surgical clips are noted. There is cardiomegaly despite the AP projection. Air space opacification within the  right mid, lower zones and the retrocardiac region appear largely unchanged.   Theleft pleural effusion is stable. Vascular markings are slightly less prominent compared  to before.   Known / Minor  Reported by: &lt;DOCTOR&gt;</w:t>
      </w:r>
    </w:p>
    <w:p>
      <w:r>
        <w:t>Accession Number: d69f782baed2fe36a44b52e0b2296b40898a5e0da7e8eb606ee2efa006a926ad</w:t>
      </w:r>
    </w:p>
    <w:p>
      <w:r>
        <w:t>Updated Date Time: 18/3/2016 14:15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