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1309</w:t>
      </w:r>
    </w:p>
    <w:p>
      <w:r>
        <w:t>Visit Number: c332a1c4352ae9144a46f7291b8da473f24689309290850814ca09553998cde1</w:t>
      </w:r>
    </w:p>
    <w:p>
      <w:r>
        <w:t>Masked_PatientID: 1309</w:t>
      </w:r>
    </w:p>
    <w:p>
      <w:r>
        <w:t>Order ID: 12b0f8cc5cd4c175f4680495be4a56c2028e0bdca67f638a74fd85733bcab4e1</w:t>
      </w:r>
    </w:p>
    <w:p>
      <w:r>
        <w:t>Order Name: Chest X-ray</w:t>
      </w:r>
    </w:p>
    <w:p>
      <w:r>
        <w:t>Result Item Code: CHE-NOV</w:t>
      </w:r>
    </w:p>
    <w:p>
      <w:r>
        <w:t>Performed Date Time: 10/11/2017 17:56</w:t>
      </w:r>
    </w:p>
    <w:p>
      <w:r>
        <w:t>Line Num: 1</w:t>
      </w:r>
    </w:p>
    <w:p>
      <w:r>
        <w:t>Text:       HISTORY fever, vomitting REPORT  Comparison chest radiograph dated 7 November 2016. Heart size cannot be accurately assessed due to magnification on the current AP projection.   There is patchy airspace opacification over the right mid to lower zones and left  retrocardiac region.  Findings likely represent infective change in the given clinical  context.  No pleural effusion or pneumothorax. No subdiaphragmatic extraluminal free gas. Degenerative changes are noted in the imaged spine.   May need further action Finalised by: &lt;DOCTOR&gt;</w:t>
      </w:r>
    </w:p>
    <w:p>
      <w:r>
        <w:t>Accession Number: 667a1b02a523fd973e6c9427be38bf8ed02250ef57ded88b2404065ab24878aa</w:t>
      </w:r>
    </w:p>
    <w:p>
      <w:r>
        <w:t>Updated Date Time: 11/11/2017 11:11</w:t>
      </w:r>
    </w:p>
    <w:p>
      <w:pPr>
        <w:pStyle w:val="Heading2"/>
      </w:pPr>
      <w:r>
        <w:t>Layman Explanation</w:t>
      </w:r>
    </w:p>
    <w:p>
      <w:r>
        <w:t>This radiology report discusses       HISTORY fever, vomitting REPORT  Comparison chest radiograph dated 7 November 2016. Heart size cannot be accurately assessed due to magnification on the current AP projection.   There is patchy airspace opacification over the right mid to lower zones and left  retrocardiac region.  Findings likely represent infective change in the given clinical  context.  No pleural effusion or pneumothorax. No subdiaphragmatic extraluminal free gas. Degenerative changes are noted in the imaged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