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13123</w:t>
      </w:r>
    </w:p>
    <w:p>
      <w:r>
        <w:t>Visit Number: f6fbd3a3a2a3fcf3a122f08b436fe5177659d5a77a2eae09f9fb361e4d539ebe</w:t>
      </w:r>
    </w:p>
    <w:p>
      <w:r>
        <w:t>Masked_PatientID: 13120</w:t>
      </w:r>
    </w:p>
    <w:p>
      <w:r>
        <w:t>Order ID: 81695dc279077848340f7db327c6e52340c12c182259b9b369c95c0cda250f56</w:t>
      </w:r>
    </w:p>
    <w:p>
      <w:r>
        <w:t>Order Name: Chest X-ray</w:t>
      </w:r>
    </w:p>
    <w:p>
      <w:r>
        <w:t>Result Item Code: CHE-NOV</w:t>
      </w:r>
    </w:p>
    <w:p>
      <w:r>
        <w:t>Performed Date Time: 04/4/2016 18:44</w:t>
      </w:r>
    </w:p>
    <w:p>
      <w:r>
        <w:t>Line Num: 1</w:t>
      </w:r>
    </w:p>
    <w:p>
      <w:r>
        <w:t>Text:       HISTORY post CRT-D insertion REPORT  Comparison dated 03/04/2016. There has been interval placement of a left-sided AICD with three leads, one projecting  over the right atrium, and two projecting over the right ventricle, kindly correlate  clinically for appropriate positioning. The cardiac silhouette is enlarged.  Compared to the prior study, there is improved  perihilar congestion.  Linear opacity at the left lung base most likely represents  subsegmental atelectasis.  No sizable pleural effusion or pneumothorax is detected.   Bones and soft tissues are unchanged.   Known / Minor  Finalised by: &lt;DOCTOR&gt;</w:t>
      </w:r>
    </w:p>
    <w:p>
      <w:r>
        <w:t>Accession Number: 844c468bf32e532d9b6369ec5b17402210afb27d010756ca803c6ba91577bdef</w:t>
      </w:r>
    </w:p>
    <w:p>
      <w:r>
        <w:t>Updated Date Time: 06/4/2016 10:41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