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13178</w:t>
      </w:r>
    </w:p>
    <w:p>
      <w:r>
        <w:t>Visit Number: 6a601b0f336c272a7736a9c44ca3b0fc2c288c06cfc5337deae9efc2a2b0b966</w:t>
      </w:r>
    </w:p>
    <w:p>
      <w:r>
        <w:t>Masked_PatientID: 13149</w:t>
      </w:r>
    </w:p>
    <w:p>
      <w:r>
        <w:t>Order ID: 5d42c213be00b46684adf1fbf74184642c827c87185c9984e91747d36ff2c7c6</w:t>
      </w:r>
    </w:p>
    <w:p>
      <w:r>
        <w:t>Order Name: Chest X-ray</w:t>
      </w:r>
    </w:p>
    <w:p>
      <w:r>
        <w:t>Result Item Code: CHE-NOV</w:t>
      </w:r>
    </w:p>
    <w:p>
      <w:r>
        <w:t>Performed Date Time: 27/5/2017 18:09</w:t>
      </w:r>
    </w:p>
    <w:p>
      <w:r>
        <w:t>Line Num: 1</w:t>
      </w:r>
    </w:p>
    <w:p>
      <w:r>
        <w:t>Text:       HISTORY to R/O septic foci REPORT The chest radiograph of 1 March 2017 and CT scan of 16 February 2017 were reviewed. The heart size cannot be accurately assessed on the AP projection.  A single lead  AICD and Mitra clip are seen. Status post CABG. The airspace opacities in the perihilar distribution and right lower zone and the  small right pleural effusion are largely similar to before. This is probably due  to fluid overload. There is interval increase in the airspace opacification of the  right mid zone.  A superimposed infection cannot be excluded. Degenerative changes are noted in the spine. Deformity in the right 11th rib may  be due to an old fracture.   Further action or early intervention required Finalised by: &lt;DOCTOR&gt;</w:t>
      </w:r>
    </w:p>
    <w:p>
      <w:r>
        <w:t>Accession Number: c871d7b81beb26262e08ec3685052c6c8b6954152287b93ee5499ebdf91bf5b5</w:t>
      </w:r>
    </w:p>
    <w:p>
      <w:r>
        <w:t>Updated Date Time: 28/5/2017 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