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13298</w:t>
      </w:r>
    </w:p>
    <w:p>
      <w:r>
        <w:t>Visit Number: ca0258811dbcaa6e2d455f425d1f08f8d23cf9b1918ced7ad8805f5debf0b21d</w:t>
      </w:r>
    </w:p>
    <w:p>
      <w:r>
        <w:t>Masked_PatientID: 13289</w:t>
      </w:r>
    </w:p>
    <w:p>
      <w:r>
        <w:t>Order ID: dd781620d9665fb73bb2188d7cafbbdc26d3eb51ee85231246ad75ef068a6f41</w:t>
      </w:r>
    </w:p>
    <w:p>
      <w:r>
        <w:t>Order Name: Chest X-ray</w:t>
      </w:r>
    </w:p>
    <w:p>
      <w:r>
        <w:t>Result Item Code: CHE-NOV</w:t>
      </w:r>
    </w:p>
    <w:p>
      <w:r>
        <w:t>Performed Date Time: 28/3/2017 22:14</w:t>
      </w:r>
    </w:p>
    <w:p>
      <w:r>
        <w:t>Line Num: 1</w:t>
      </w:r>
    </w:p>
    <w:p>
      <w:r>
        <w:t>Text:       HISTORY SOB - fluid overload vs ?extension of PE REPORT  Comparison dated 28/11/2016. The trachea is midline.  The cardiac silhouette is at the upper limits of normal  for size.  The thoracic aorta is mildly unfolded.  Focal calcification projecting  over the aortic arch could represent a small calcified lymph node. A left-sided pleural effusion is noted with opacification at the left lung base which  may be secondary to compressive atelectasis or underlying infection.A vague patchy  opacity is also noted at the right lung base which could be secondary to early developing  atelectasis or consolidation.  The remaining lung fields are clear. Soft tissues and osseous structures remain unchanged from prior.  The bones appear  mildly osteopenic.   May need further action Finalised by: &lt;DOCTOR&gt;</w:t>
      </w:r>
    </w:p>
    <w:p>
      <w:r>
        <w:t>Accession Number: 0364e78654078e0d0c02b4cbc7ef550316963460c00518685860b8a4856967b7</w:t>
      </w:r>
    </w:p>
    <w:p>
      <w:r>
        <w:t>Updated Date Time: 29/3/2017 11:58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