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13338</w:t>
      </w:r>
    </w:p>
    <w:p>
      <w:r>
        <w:t>Visit Number: eca80a2133622a0f70c142f83cd53c08024749b5975132d283f96432545acb0b</w:t>
      </w:r>
    </w:p>
    <w:p>
      <w:r>
        <w:t>Masked_PatientID: 13335</w:t>
      </w:r>
    </w:p>
    <w:p>
      <w:r>
        <w:t>Order ID: 3b869df6880ec769875842b9762b2837be976cbb04a3ebde8e0628947301dff3</w:t>
      </w:r>
    </w:p>
    <w:p>
      <w:r>
        <w:t>Order Name: Chest X-ray</w:t>
      </w:r>
    </w:p>
    <w:p>
      <w:r>
        <w:t>Result Item Code: CHE-NOV</w:t>
      </w:r>
    </w:p>
    <w:p>
      <w:r>
        <w:t>Performed Date Time: 15/7/2018 23:51</w:t>
      </w:r>
    </w:p>
    <w:p>
      <w:r>
        <w:t>Line Num: 1</w:t>
      </w:r>
    </w:p>
    <w:p>
      <w:r>
        <w:t>Text:       HISTORY fluid overload REPORT The prior chest radiograph dated 11 July 2017 was reviewed. Midline sternotomy wires and mediastinal clips in keeping with prior CABG. There  is cardiomegaly.  There is dual-lead pacemaker with leads projected over the right  atrium and right ventricle. The thoracic aorta is unfolded with arch calcifications.  Bilateral mid to lower zone airspace opacification and bilateral small pleural effusions  right more than left are in keeping withpulmonary oedema. However, superimposed  infection cannot be excluded. Please correlate clinically.   May need further action Reported by: &lt;DOCTOR&gt;</w:t>
      </w:r>
    </w:p>
    <w:p>
      <w:r>
        <w:t>Accession Number: bfa952c5ead325b50c234e3447426af86a371a358255e5d27c3e730a5ea00459</w:t>
      </w:r>
    </w:p>
    <w:p>
      <w:r>
        <w:t>Updated Date Time: 16/7/2018 12:14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