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13384</w:t>
      </w:r>
    </w:p>
    <w:p>
      <w:r>
        <w:t>Visit Number: 9454e1b1695c720f218f33915187c847ef3b57af6c3ecfb3424174df41a444ae</w:t>
      </w:r>
    </w:p>
    <w:p>
      <w:r>
        <w:t>Masked_PatientID: 13378</w:t>
      </w:r>
    </w:p>
    <w:p>
      <w:r>
        <w:t>Order ID: 0993badfdc1ca86b6919b7d7d48153ed92a67893917d1b6eb828b10b31305c39</w:t>
      </w:r>
    </w:p>
    <w:p>
      <w:r>
        <w:t>Order Name: Chest X-ray</w:t>
      </w:r>
    </w:p>
    <w:p>
      <w:r>
        <w:t>Result Item Code: CHE-NOV</w:t>
      </w:r>
    </w:p>
    <w:p>
      <w:r>
        <w:t>Performed Date Time: 31/7/2018 9:58</w:t>
      </w:r>
    </w:p>
    <w:p>
      <w:r>
        <w:t>Line Num: 1</w:t>
      </w:r>
    </w:p>
    <w:p>
      <w:r>
        <w:t>Text:       HISTORY Fluid overload and HAP REPORT Chest radiograph, AP sitting Comparison is made with the prior chest radiograph dated 29 July 2018. There is improvement of diffuse airspace opacities, which are currently predominantly  visualised in the bilateral lower zones. The right-sided pleural effusion demonstrates  reduction in size. Background scattered reticular opacities are again noted.  Cardiomegaly is unchanged. Atherosclerotic calcification of the unfolded thoracicaorta is again noted.  Surgical clips projected over the right hilar region are in keeping with previous  right upper lobectomy. Stable sclerosis with fracture of the right lateral 6th rib  is better appreciated on the previous CT chest studydated 6 June 2018.    May need further action Reported by: &lt;DOCTOR&gt;</w:t>
      </w:r>
    </w:p>
    <w:p>
      <w:r>
        <w:t>Accession Number: 9858bcb92ff5e1b2c521eada58e117184a4bbffca293bc1de8507db0cc3d17b8</w:t>
      </w:r>
    </w:p>
    <w:p>
      <w:r>
        <w:t>Updated Date Time: 31/7/2018 17:41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