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13401</w:t>
      </w:r>
    </w:p>
    <w:p>
      <w:r>
        <w:t>Visit Number: 4b40decaed2a0d9df59fd2590e60de3bf76a523e43a489c5e199ec32dbb8c0d9</w:t>
      </w:r>
    </w:p>
    <w:p>
      <w:r>
        <w:t>Masked_PatientID: 13395</w:t>
      </w:r>
    </w:p>
    <w:p>
      <w:r>
        <w:t>Order ID: 4fad28986c0f766cfeb50a3ec2fa67a7b2efd2b5419c73bd4fd54b79faa7d14e</w:t>
      </w:r>
    </w:p>
    <w:p>
      <w:r>
        <w:t>Order Name: Chest X-ray, Erect</w:t>
      </w:r>
    </w:p>
    <w:p>
      <w:r>
        <w:t>Result Item Code: CHE-ER</w:t>
      </w:r>
    </w:p>
    <w:p>
      <w:r>
        <w:t>Performed Date Time: 23/8/2016 19:36</w:t>
      </w:r>
    </w:p>
    <w:p>
      <w:r>
        <w:t>Line Num: 1</w:t>
      </w:r>
    </w:p>
    <w:p>
      <w:r>
        <w:t>Text:       HISTORY dyspnea REPORT The chest radiograph dated 20 March 2016 was reviewed. The patient is status post CABG with sternotomy wires and surgical clips noted. The heart size cannot be accurately assessed in this projection. There are reduced lung volumes and symmetrical reticulonodular opacities in both lungs predominantly in the lower zones, consistent with known interstitial lung disease and stable in distribution. However there is interval development of  patchy air space changes in the right lower zone suspicious for superimposed infection.  Further correlation and follow up is recommended. No sizeable pleural effusion is  seen.  Further action or early intervention required Reported by: &lt;DOCTOR&gt;</w:t>
      </w:r>
    </w:p>
    <w:p>
      <w:r>
        <w:t>Accession Number: 4f4558b033f5f0f6ffd5b5d72bf74a2a253d4f4dd84616a2792a9334559917d8</w:t>
      </w:r>
    </w:p>
    <w:p>
      <w:r>
        <w:t>Updated Date Time: 24/8/2016 15:07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