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13520</w:t>
      </w:r>
    </w:p>
    <w:p>
      <w:r>
        <w:t>Visit Number: dc4c3fe883c778171e79c6b9140e2372d3403a33cf12fe2136cdf27e1db4538c</w:t>
      </w:r>
    </w:p>
    <w:p>
      <w:r>
        <w:t>Masked_PatientID: 13519</w:t>
      </w:r>
    </w:p>
    <w:p>
      <w:r>
        <w:t>Order ID: 40c8ac9a8702e9b974e898f1288e62359eacfd79447f3bbb670e7a6ad647a6ab</w:t>
      </w:r>
    </w:p>
    <w:p>
      <w:r>
        <w:t>Order Name: CT Chest, High Resolution</w:t>
      </w:r>
    </w:p>
    <w:p>
      <w:r>
        <w:t>Result Item Code: CTCHEHR</w:t>
      </w:r>
    </w:p>
    <w:p>
      <w:r>
        <w:t>Performed Date Time: 26/10/2018 14:20</w:t>
      </w:r>
    </w:p>
    <w:p>
      <w:r>
        <w:t>Line Num: 1</w:t>
      </w:r>
    </w:p>
    <w:p>
      <w:r>
        <w:t>Text:       HISTORY interval review of suspected drug related pneumonitis TECHNIQUE Scans acquired as per department protocol. Intravenous contrast: nil FINDINGS NCC CT dated 11 September 2018 was reviewed. There is resolution of diffuse nodularity in both lungs.  No consolidation is seen.   The airways are of normal calibre.  Mild scarring is seen in both lungs.  No enlarged  axillary, mediastinal or hilar lymph node.  There is no pleural or pericardial effusion.   Stable nodularity in the left adrenal gland.  No aggressive bony lesion. CONCLUSION Resolution of diffuse parenchymal nodularity in both lungs.  Mild patchy scarring  is seen in the lungs.   Known / Minor Finalised by: &lt;DOCTOR&gt;</w:t>
      </w:r>
    </w:p>
    <w:p>
      <w:r>
        <w:t>Accession Number: 2d956668963abd961898a77321f607fa3b86045ede93e54de19dee79a4b281b7</w:t>
      </w:r>
    </w:p>
    <w:p>
      <w:r>
        <w:t>Updated Date Time: 02/11/2018 9:30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