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1721</w:t>
      </w:r>
    </w:p>
    <w:p>
      <w:r>
        <w:t>Visit Number: 59af2cdfef0db50b4f446a845513459950726b78545e6e7bec55bb01e901963c</w:t>
      </w:r>
    </w:p>
    <w:p>
      <w:r>
        <w:t>Masked_PatientID: 1714</w:t>
      </w:r>
    </w:p>
    <w:p>
      <w:r>
        <w:t>Order ID: d202ab357c11d28741af7c1f6bb5d531f9ffd5dbadc653d71ce5503339b5d4be</w:t>
      </w:r>
    </w:p>
    <w:p>
      <w:r>
        <w:t>Order Name: Chest X-ray</w:t>
      </w:r>
    </w:p>
    <w:p>
      <w:r>
        <w:t>Result Item Code: CHE-NOV</w:t>
      </w:r>
    </w:p>
    <w:p>
      <w:r>
        <w:t>Performed Date Time: 26/2/2018 12:25</w:t>
      </w:r>
    </w:p>
    <w:p>
      <w:r>
        <w:t>Line Num: 1</w:t>
      </w:r>
    </w:p>
    <w:p>
      <w:r>
        <w:t>Text:       HISTORY cxr ?fluid overload REPORT  Comparison study:  17/02/2018 Cardiomegaly.  Upper lobe blood diversion, interstitial shadowing and a small left  pleural effusion compatible with fluid overload.   Further action or earlyintervention required Finalised by: &lt;DOCTOR&gt;</w:t>
      </w:r>
    </w:p>
    <w:p>
      <w:r>
        <w:t>Accession Number: d1c62c9c711282dc0d5ebcb3035bf4e49e68ed51cbd9a6308b7fbeb9b9cda1ce</w:t>
      </w:r>
    </w:p>
    <w:p>
      <w:r>
        <w:t>Updated Date Time: 26/2/2018 17:56</w:t>
      </w:r>
    </w:p>
    <w:p>
      <w:pPr>
        <w:pStyle w:val="Heading2"/>
      </w:pPr>
      <w:r>
        <w:t>Layman Explanation</w:t>
      </w:r>
    </w:p>
    <w:p>
      <w:r>
        <w:t>This radiology report discusses       HISTORY cxr ?fluid overload REPORT  Comparison study:  17/02/2018 Cardiomegaly.  Upper lobe blood diversion, interstitial shadowing and a small left  pleural effusion compatible with fluid overload.   Further action or earlyintervention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