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2024</w:t>
      </w:r>
    </w:p>
    <w:p>
      <w:r>
        <w:t>Visit Number: a3f38e433d46d8bff03139a893db8c127e2f908bb7cfe8f2474cf6a722499e4a</w:t>
      </w:r>
    </w:p>
    <w:p>
      <w:r>
        <w:t>Masked_PatientID: 2022</w:t>
      </w:r>
    </w:p>
    <w:p>
      <w:r>
        <w:t>Order ID: 0921cc14be400caa1544ae5ad1b6e8ea743e60d688f5edc858ad47e0e8f34c38</w:t>
      </w:r>
    </w:p>
    <w:p>
      <w:r>
        <w:t>Order Name: Chest X-ray</w:t>
      </w:r>
    </w:p>
    <w:p>
      <w:r>
        <w:t>Result Item Code: CHE-NOV</w:t>
      </w:r>
    </w:p>
    <w:p>
      <w:r>
        <w:t>Performed Date Time: 19/5/2016 16:27</w:t>
      </w:r>
    </w:p>
    <w:p>
      <w:r>
        <w:t>Line Num: 1</w:t>
      </w:r>
    </w:p>
    <w:p>
      <w:r>
        <w:t>Text:       HISTORY spike of fever despite treatment of pneumonia; to check for progression b/g ILD REPORT  Comparison dated 17/05/2016. The trachea is midline.  The cardiac silhouette cannot be adequately assessed on  this projection. Patchy reticular opacities are again noted in both lung fields, in keeping with known  interstitial lung disease, although the possibility of superimposed infectious process  is not excluded. There is no significant interval change compared to priorstudy. No sizable pleural effusion or pneumothorax is detected.  Bones and soft tissues  are unchanged.   Known / Minor  Finalised by: &lt;DOCTOR&gt;</w:t>
      </w:r>
    </w:p>
    <w:p>
      <w:r>
        <w:t>Accession Number: 1957262b1e56134c8c4ea01cd13740344b736c45ad1dc5677a0609619683d8d8</w:t>
      </w:r>
    </w:p>
    <w:p>
      <w:r>
        <w:t>Updated Date Time: 20/5/2016 9:50</w:t>
      </w:r>
    </w:p>
    <w:p>
      <w:pPr>
        <w:pStyle w:val="Heading2"/>
      </w:pPr>
      <w:r>
        <w:t>Layman Explanation</w:t>
      </w:r>
    </w:p>
    <w:p>
      <w:r>
        <w:t>This radiology report discusses       HISTORY spike of fever despite treatment of pneumonia; to check for progression b/g ILD REPORT  Comparison dated 17/05/2016. The trachea is midline.  The cardiac silhouette cannot be adequately assessed on  this projection. Patchy reticular opacities are again noted in both lung fields, in keeping with known  interstitial lung disease, although the possibility of superimposed infectious process  is not excluded. There is no significant interval change compared to priorstudy. No sizable pleural effusion or pneumothorax is detected.  Bones and soft tissues  are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