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2092</w:t>
      </w:r>
    </w:p>
    <w:p>
      <w:r>
        <w:t>Visit Number: 3b58e60f192600a49aecb71ab53fdb4ae9fb24208963c86c2b7798e17f47f090</w:t>
      </w:r>
    </w:p>
    <w:p>
      <w:r>
        <w:t>Masked_PatientID: 2080</w:t>
      </w:r>
    </w:p>
    <w:p>
      <w:r>
        <w:t>Order ID: 0bd3cfc1ec95685a429933df39e02982f7ffc99d1c7ae3567527498910a45bd9</w:t>
      </w:r>
    </w:p>
    <w:p>
      <w:r>
        <w:t>Order Name: Chest X-ray, Erect</w:t>
      </w:r>
    </w:p>
    <w:p>
      <w:r>
        <w:t>Result Item Code: CHE-ER</w:t>
      </w:r>
    </w:p>
    <w:p>
      <w:r>
        <w:t>Performed Date Time: 22/9/2015 12:40</w:t>
      </w:r>
    </w:p>
    <w:p>
      <w:r>
        <w:t>Line Num: 1</w:t>
      </w:r>
    </w:p>
    <w:p>
      <w:r>
        <w:t>Text:       HISTORY ccf angina; ccf REPORT Comparison is made with the previous chest radiograph dated 2/09/2015. Midline sternotomy  wires are noted. The heart is enlarged. Interval worsening of bilateral perihilar  vascularity and right pleural effusion.  Imaging the findings are suggestive of a congestive cardiac failure, however superimposed  infective changes cannot be excluded.    May need further action Finalised by: &lt;DOCTOR&gt;</w:t>
      </w:r>
    </w:p>
    <w:p>
      <w:r>
        <w:t>Accession Number: 5577305533e2721ac2fc9b3f8b9a93f4c83df8908c333140eec2280afb7f8a4b</w:t>
      </w:r>
    </w:p>
    <w:p>
      <w:r>
        <w:t>Updated Date Time: 22/9/2015 17:59</w:t>
      </w:r>
    </w:p>
    <w:p>
      <w:pPr>
        <w:pStyle w:val="Heading2"/>
      </w:pPr>
      <w:r>
        <w:t>Layman Explanation</w:t>
      </w:r>
    </w:p>
    <w:p>
      <w:r>
        <w:t>This radiology report discusses       HISTORY ccf angina; ccf REPORT Comparison is made with the previous chest radiograph dated 2/09/2015. Midline sternotomy  wires are noted. The heart is enlarged. Interval worsening of bilateral perihilar  vascularity and right pleural effusion.  Imaging the findings are suggestive of a congestive cardiac failure, however superimposed  infective changes cannot be excluded.   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