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2506</w:t>
      </w:r>
    </w:p>
    <w:p>
      <w:r>
        <w:t>Visit Number: c2b18c051f8c81c36e662adbd6750d8ef4fa69f3de227a32822e3576f9f10ec3</w:t>
      </w:r>
    </w:p>
    <w:p>
      <w:r>
        <w:t>Masked_PatientID: 2498</w:t>
      </w:r>
    </w:p>
    <w:p>
      <w:r>
        <w:t>Order ID: 64c50ad7733598c2170fb878acb671e9a3bd1b878c24a29474db967b02c7514a</w:t>
      </w:r>
    </w:p>
    <w:p>
      <w:r>
        <w:t>Order Name: Chest X-ray</w:t>
      </w:r>
    </w:p>
    <w:p>
      <w:r>
        <w:t>Result Item Code: CHE-NOV</w:t>
      </w:r>
    </w:p>
    <w:p>
      <w:r>
        <w:t>Performed Date Time: 23/12/2016 22:20</w:t>
      </w:r>
    </w:p>
    <w:p>
      <w:r>
        <w:t>Line Num: 1</w:t>
      </w:r>
    </w:p>
    <w:p>
      <w:r>
        <w:t>Text:       HISTORY post op review REPORT  Comparison was done with prior radiograph dated 23/12/2016.  The right central venous  catheter, endotracheal tube, the left central venous catheter and feeding tubes are  noted in situ.  Background pulmonary venous congestion is noted.  The patchy airspace  changes noted in the left upper, mid and right lower zones appear unchanged.  Overall  no significant interval changes.   Known / Minor  Finalised by: &lt;DOCTOR&gt;</w:t>
      </w:r>
    </w:p>
    <w:p>
      <w:r>
        <w:t>Accession Number: 17a5827a7372f04c6578e2e31d7df30aeac157cc0b2d0c60425f56d8b7990187</w:t>
      </w:r>
    </w:p>
    <w:p>
      <w:r>
        <w:t>Updated Date Time: 25/12/2016 11:12</w:t>
      </w:r>
    </w:p>
    <w:p>
      <w:pPr>
        <w:pStyle w:val="Heading2"/>
      </w:pPr>
      <w:r>
        <w:t>Layman Explanation</w:t>
      </w:r>
    </w:p>
    <w:p>
      <w:r>
        <w:t>This radiology report discusses       HISTORY post op review REPORT  Comparison was done with prior radiograph dated 23/12/2016.  The right central venous  catheter, endotracheal tube, the left central venous catheter and feeding tubes are  noted in situ.  Background pulmonary venous congestion is noted.  The patchy airspace  changes noted in the left upper, mid and right lower zones appear unchanged.  Overall  no significant interval changes.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