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2539</w:t>
      </w:r>
    </w:p>
    <w:p>
      <w:r>
        <w:t>Visit Number: 1d6e9ab621dbbc5298103394a8e34d86aaaf6370fa45cd6608e8e06986b10775</w:t>
      </w:r>
    </w:p>
    <w:p>
      <w:r>
        <w:t>Masked_PatientID: 2532</w:t>
      </w:r>
    </w:p>
    <w:p>
      <w:r>
        <w:t>Order ID: b3cc707f06acb667225b4b82f377b080b5efd255e298782fd2ec2c09820050af</w:t>
      </w:r>
    </w:p>
    <w:p>
      <w:r>
        <w:t>Order Name: Chest X-ray</w:t>
      </w:r>
    </w:p>
    <w:p>
      <w:r>
        <w:t>Result Item Code: CHE-NOV</w:t>
      </w:r>
    </w:p>
    <w:p>
      <w:r>
        <w:t>Performed Date Time: 09/4/2020 13:28</w:t>
      </w:r>
    </w:p>
    <w:p>
      <w:r>
        <w:t>Line Num: 1</w:t>
      </w:r>
    </w:p>
    <w:p>
      <w:r>
        <w:t>Text: HISTORY  SOB REPORT The previous chest radiograph dated 16 July 2019 was reviewed. Suboptimal inspiratory effort. Bilateral interstitial opacities, as well as airspace opacification in the lung bases. Bilateral small pleural effusions. Stable small right lung apex scarring and calcified granulomas. Heart size is not accurately assessed due to suboptimal inspiratory effort and AP  projection. Stable non-specific calcifications over the region of the left axilla. The overall findings suggest fluid overload, please correlate with clinical features. Report Indicator: May need further action Finalised by: &lt;DOCTOR&gt;</w:t>
      </w:r>
    </w:p>
    <w:p>
      <w:r>
        <w:t>Accession Number: 3fb73e85938f670ff2d22a3923f6a61f47d3e355afd4dcdbb37206e803c34981</w:t>
      </w:r>
    </w:p>
    <w:p>
      <w:r>
        <w:t>Updated Date Time: 09/4/2020 15:37</w:t>
      </w:r>
    </w:p>
    <w:p>
      <w:pPr>
        <w:pStyle w:val="Heading2"/>
      </w:pPr>
      <w:r>
        <w:t>Layman Explanation</w:t>
      </w:r>
    </w:p>
    <w:p>
      <w:r>
        <w:t>This radiology report discusses HISTORY  SOB REPORT The previous chest radiograph dated 16 July 2019 was reviewed. Suboptimal inspiratory effort. Bilateral interstitial opacities, as well as airspace opacification in the lung bases. Bilateral small pleural effusions. Stable small right lung apex scarring and calcified granulomas. Heart size is not accurately assessed due to suboptimal inspiratory effort and AP  projection. Stable non-specific calcifications over the region of the left axilla. The overall findings suggest fluid overload, please correlate with clinical features.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