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296</w:t>
      </w:r>
    </w:p>
    <w:p>
      <w:r>
        <w:t>Visit Number: f91bc1d4b707acc56774e44af8c7c1f887f25af2b7251524680229e5ac15efd5</w:t>
      </w:r>
    </w:p>
    <w:p>
      <w:r>
        <w:t>Masked_PatientID: 269</w:t>
      </w:r>
    </w:p>
    <w:p>
      <w:r>
        <w:t>Order ID: cedd86d731515691e058906ed4e1cb48e1503da161748d0057e97afc70287019</w:t>
      </w:r>
    </w:p>
    <w:p>
      <w:r>
        <w:t>Order Name: Chest X-ray</w:t>
      </w:r>
    </w:p>
    <w:p>
      <w:r>
        <w:t>Result Item Code: CHE-NOV</w:t>
      </w:r>
    </w:p>
    <w:p>
      <w:r>
        <w:t>Performed Date Time: 30/9/2016 11:00</w:t>
      </w:r>
    </w:p>
    <w:p>
      <w:r>
        <w:t>Line Num: 1</w:t>
      </w:r>
    </w:p>
    <w:p>
      <w:r>
        <w:t>Text:       HISTORY Fever REPORT Comparison made with previous chest radiograph 28/09/2016. The right lower zone consolidation shows interval improvement although far from clear.  There is interval resolution of left lower zone air space changes. Heart size is within normal limits even allowing for the projection.  Tracheostomy  tube is in situ with the tip just above the level of the carina.  There is a nasogastric  tube with the tip projected over the distal gastric region.  Surgical staples are  noted in the lower neck and chest.   May need further action Finalised by: &lt;DOCTOR&gt;</w:t>
      </w:r>
    </w:p>
    <w:p>
      <w:r>
        <w:t>Accession Number: e3669d0782e92f0cfbbf3c7864a884592ad0e053e343810ca306355aee01618f</w:t>
      </w:r>
    </w:p>
    <w:p>
      <w:r>
        <w:t>Updated Date Time: 30/9/2016 14:50</w:t>
      </w:r>
    </w:p>
    <w:p>
      <w:pPr>
        <w:pStyle w:val="Heading2"/>
      </w:pPr>
      <w:r>
        <w:t>Layman Explanation</w:t>
      </w:r>
    </w:p>
    <w:p>
      <w:r>
        <w:t>This radiology report discusses       HISTORY Fever REPORT Comparison made with previous chest radiograph 28/09/2016. The right lower zone consolidation shows interval improvement although far from clear.  There is interval resolution of left lower zone air space changes. Heart size is within normal limits even allowing for the projection.  Tracheostomy  tube is in situ with the tip just above the level of the carina.  There is a nasogastric  tube with the tip projected over the distal gastric region.  Surgical staples are  noted in the lower neck and chest.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