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2790</w:t>
      </w:r>
    </w:p>
    <w:p>
      <w:r>
        <w:t>Visit Number: 62ddfd7fad465a695e50e9f49c8d063ea6ef8b4c8162784ef53c58aa8a6bc36b</w:t>
      </w:r>
    </w:p>
    <w:p>
      <w:r>
        <w:t>Masked_PatientID: 2790</w:t>
      </w:r>
    </w:p>
    <w:p>
      <w:r>
        <w:t>Order ID: a90c905db5e637b527da43238b5c0fdd579b7c814b5c8a783d7bf267dce77671</w:t>
      </w:r>
    </w:p>
    <w:p>
      <w:r>
        <w:t>Order Name: Chest X-ray</w:t>
      </w:r>
    </w:p>
    <w:p>
      <w:r>
        <w:t>Result Item Code: CHE-NOV</w:t>
      </w:r>
    </w:p>
    <w:p>
      <w:r>
        <w:t>Performed Date Time: 05/10/2017 14:57</w:t>
      </w:r>
    </w:p>
    <w:p>
      <w:r>
        <w:t>Line Num: 1</w:t>
      </w:r>
    </w:p>
    <w:p>
      <w:r>
        <w:t>Text:       HISTORY persistent O2 dependence TRO HAP REPORT  Compared with a study dated 1 October 2017. The heart size is upper limit of normal.  Atheromatous mural calcification aortic  arch is seen. No confluent consolidation or discrete mass lesion seen.  However blunting of bilateral  costophrenic angles noted, which may represent sliver of pleural effusions.  In addition there are subtle increased markings in bilateral perihilar region, which  may represent underlying airway inflammation or early infective change. No evidence of pneumothorax.   Known / Minor  Finalised by: &lt;DOCTOR&gt;</w:t>
      </w:r>
    </w:p>
    <w:p>
      <w:r>
        <w:t>Accession Number: 1f1ce1024ad9b26f5b4b29581da7af2587e5530ca91b668d22f5d2e49815d224</w:t>
      </w:r>
    </w:p>
    <w:p>
      <w:r>
        <w:t>Updated Date Time: 06/10/2017 7:55</w:t>
      </w:r>
    </w:p>
    <w:p>
      <w:pPr>
        <w:pStyle w:val="Heading2"/>
      </w:pPr>
      <w:r>
        <w:t>Layman Explanation</w:t>
      </w:r>
    </w:p>
    <w:p>
      <w:r>
        <w:t>This radiology report discusses       HISTORY persistent O2 dependence TRO HAP REPORT  Compared with a study dated 1 October 2017. The heart size is upper limit of normal.  Atheromatous mural calcification aortic  arch is seen. No confluent consolidation or discrete mass lesion seen.  However blunting of bilateral  costophrenic angles noted, which may represent sliver of pleural effusions.  In addition there are subtle increased markings in bilateral perihilar region, which  may represent underlying airway inflammation or early infective change. No evidence of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