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2821</w:t>
      </w:r>
    </w:p>
    <w:p>
      <w:r>
        <w:t>Visit Number: 203701837f64bfc83c2cad737c93c946476b9a1de4ca942be8257fdec230c63f</w:t>
      </w:r>
    </w:p>
    <w:p>
      <w:r>
        <w:t>Masked_PatientID: 2820</w:t>
      </w:r>
    </w:p>
    <w:p>
      <w:r>
        <w:t>Order ID: 482a0fed2cf23e950039a2aad7db05f4327ba0e5e85ae03697d4ddd12a1993d6</w:t>
      </w:r>
    </w:p>
    <w:p>
      <w:r>
        <w:t>Order Name: Chest X-ray</w:t>
      </w:r>
    </w:p>
    <w:p>
      <w:r>
        <w:t>Result Item Code: CHE-NOV</w:t>
      </w:r>
    </w:p>
    <w:p>
      <w:r>
        <w:t>Performed Date Time: 17/1/2018 10:37</w:t>
      </w:r>
    </w:p>
    <w:p>
      <w:r>
        <w:t>Line Num: 1</w:t>
      </w:r>
    </w:p>
    <w:p>
      <w:r>
        <w:t>Text:       HISTORY To look for resolution of chest infection REPORT The cardiac shadow is top normal in size.  There is resolution of the right lower zone consolidation/collapse and the left lower  zone atelectasis compared with the image dated 12/12/2017.  Both the costophrenic angles show mild blunting due to pleural thickening.   Known / Minor  Finalised by: &lt;DOCTOR&gt;</w:t>
      </w:r>
    </w:p>
    <w:p>
      <w:r>
        <w:t>Accession Number: c5da0c998376f8a97b6a3195f95e639f4693f14a57376530e09c23d5c5520984</w:t>
      </w:r>
    </w:p>
    <w:p>
      <w:r>
        <w:t>Updated Date Time: 17/1/2018 11:02</w:t>
      </w:r>
    </w:p>
    <w:p>
      <w:pPr>
        <w:pStyle w:val="Heading2"/>
      </w:pPr>
      <w:r>
        <w:t>Layman Explanation</w:t>
      </w:r>
    </w:p>
    <w:p>
      <w:r>
        <w:t>This radiology report discusses       HISTORY To look for resolution of chest infection REPORT The cardiac shadow is top normal in size.  There is resolution of the right lower zone consolidation/collapse and the left lower  zone atelectasis compared with the image dated 12/12/2017.  Both the costophrenic angles show mild blunting due to pleural thickening.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