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3039</w:t>
      </w:r>
    </w:p>
    <w:p>
      <w:r>
        <w:t>Visit Number: dd5a8b9545241c51a6382f22ecf445b1aa4289a8b9037c1b34e2e0219f94671a</w:t>
      </w:r>
    </w:p>
    <w:p>
      <w:r>
        <w:t>Masked_PatientID: 3002</w:t>
      </w:r>
    </w:p>
    <w:p>
      <w:r>
        <w:t>Order ID: 7b739d78e5117656f0629d9e9efd6b32b3e3281d8562b8cb9410af85f5820fee</w:t>
      </w:r>
    </w:p>
    <w:p>
      <w:r>
        <w:t>Order Name: Chest X-ray, Erect</w:t>
      </w:r>
    </w:p>
    <w:p>
      <w:r>
        <w:t>Result Item Code: CHE-ER</w:t>
      </w:r>
    </w:p>
    <w:p>
      <w:r>
        <w:t>Performed Date Time: 07/1/2015 8:17</w:t>
      </w:r>
    </w:p>
    <w:p>
      <w:r>
        <w:t>Line Num: 1</w:t>
      </w:r>
    </w:p>
    <w:p>
      <w:r>
        <w:t>Text:       HISTORY ckd with left effusion s/p thoraco in sept. for interval f/u of effusion. REPORT Comparison was made with previous study dated 8 October 2014. Midline sternotomy wires and mediastinal clips are noted in situ. Stable opacification is noted of the left mid-lower zone secondary to a left pleural  effusion with adjacent collapse/consolidation.  The heart size cannot be accurately assessed as its left heart border is obscured. Old right clavicular fracture is noted.    May need further action Finalised by: &lt;DOCTOR&gt;</w:t>
      </w:r>
    </w:p>
    <w:p>
      <w:r>
        <w:t>Accession Number: 07beae1083b8f66800a76f984a317f95457855311af2393b7182771125001626</w:t>
      </w:r>
    </w:p>
    <w:p>
      <w:r>
        <w:t>Updated Date Time: 07/1/2015 9:25</w:t>
      </w:r>
    </w:p>
    <w:p>
      <w:pPr>
        <w:pStyle w:val="Heading2"/>
      </w:pPr>
      <w:r>
        <w:t>Layman Explanation</w:t>
      </w:r>
    </w:p>
    <w:p>
      <w:r>
        <w:t>This radiology report discusses       HISTORY ckd with left effusion s/p thoraco in sept. for interval f/u of effusion. REPORT Comparison was made with previous study dated 8 October 2014. Midline sternotomy wires and mediastinal clips are noted in situ. Stable opacification is noted of the left mid-lower zone secondary to a left pleural  effusion with adjacent collapse/consolidation.  The heart size cannot be accurately assessed as its left heart border is obscured. Old right clavicular fracture is noted.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