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3074</w:t>
      </w:r>
    </w:p>
    <w:p>
      <w:r>
        <w:t>Visit Number: 353b47ac9e0a6df59b746adffb8e4c5162baffdb5123be23cf7cc6557e03c616</w:t>
      </w:r>
    </w:p>
    <w:p>
      <w:r>
        <w:t>Masked_PatientID: 3073</w:t>
      </w:r>
    </w:p>
    <w:p>
      <w:r>
        <w:t>Order ID: ee86b1f3ed801f13bb36bea36e93df06333962cf53f0c65b72484b9b0443fe17</w:t>
      </w:r>
    </w:p>
    <w:p>
      <w:r>
        <w:t>Order Name: Chest X-ray</w:t>
      </w:r>
    </w:p>
    <w:p>
      <w:r>
        <w:t>Result Item Code: CHE-NOV</w:t>
      </w:r>
    </w:p>
    <w:p>
      <w:r>
        <w:t>Performed Date Time: 22/12/2016 12:35</w:t>
      </w:r>
    </w:p>
    <w:p>
      <w:r>
        <w:t>Line Num: 1</w:t>
      </w:r>
    </w:p>
    <w:p>
      <w:r>
        <w:t>Text:       HISTORY CCF REPORT No prior radiograph was available for comparison.  Bilateral mid to lower zone opacities are seen with prominent pulmonary vasculature  and septal lines suggestive of fluid overload. Co-existing infective changes cannot  be excluded.  No pneumothorax is seen.  The heart size is normal.   May need further action Finalised by: &lt;DOCTOR&gt;</w:t>
      </w:r>
    </w:p>
    <w:p>
      <w:r>
        <w:t>Accession Number: 6052bdc246b5405492eaf2ffc76c9e43874d5f9e14094e81727d8bb7e7b74489</w:t>
      </w:r>
    </w:p>
    <w:p>
      <w:r>
        <w:t>Updated Date Time: 22/12/2016 15:29</w:t>
      </w:r>
    </w:p>
    <w:p>
      <w:pPr>
        <w:pStyle w:val="Heading2"/>
      </w:pPr>
      <w:r>
        <w:t>Layman Explanation</w:t>
      </w:r>
    </w:p>
    <w:p>
      <w:r>
        <w:t>This radiology report discusses       HISTORY CCF REPORT No prior radiograph was available for comparison.  Bilateral mid to lower zone opacities are seen with prominent pulmonary vasculature  and septal lines suggestive of fluid overload. Co-existing infective changes cannot  be excluded.  No pneumothorax is seen.  The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