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345</w:t>
      </w:r>
    </w:p>
    <w:p>
      <w:r>
        <w:t>Visit Number: b0165d607b0fe604943c51d9a54b906a1dfe6087b8f2a9ea7190bac877403d08</w:t>
      </w:r>
    </w:p>
    <w:p>
      <w:r>
        <w:t>Masked_PatientID: 345</w:t>
      </w:r>
    </w:p>
    <w:p>
      <w:r>
        <w:t>Order ID: 49b4425e523f4eccb0ec25543dc8bf6154777cbba33ebf97f4749a86a434ea7d</w:t>
      </w:r>
    </w:p>
    <w:p>
      <w:r>
        <w:t>Order Name: Chest X-ray Oblique (Specify Side)</w:t>
      </w:r>
    </w:p>
    <w:p>
      <w:r>
        <w:t>Result Item Code: CHE-OBL</w:t>
      </w:r>
    </w:p>
    <w:p>
      <w:r>
        <w:t>Performed Date Time: 05/11/2018 8:55</w:t>
      </w:r>
    </w:p>
    <w:p>
      <w:r>
        <w:t>Line Num: 1</w:t>
      </w:r>
    </w:p>
    <w:p>
      <w:r>
        <w:t>Text:       HISTORY ;ersistent left sided chest pain, known pleural mets TRO pathological fracture REPORT Left oblique view was acquired.  No grossly displaced fractures are identified in the visualized left ribs.   Note: Some of the ribs are not fully demonstrated along their entire lengths due to projectional  factors / osteopenia and the inherent technical limitations of plain film radiography. A CT study may be necessary if rib fractures are clearly suspected or clinically  evident.   Known / Minor Finalised by: &lt;DOCTOR&gt;</w:t>
      </w:r>
    </w:p>
    <w:p>
      <w:r>
        <w:t>Accession Number: 8985efbe61b0b44a7a7b9500ec00308d5a922635c576d78f261dbb40fc8c70ab</w:t>
      </w:r>
    </w:p>
    <w:p>
      <w:r>
        <w:t>Updated Date Time: 06/11/2018 18:28</w:t>
      </w:r>
    </w:p>
    <w:p>
      <w:pPr>
        <w:pStyle w:val="Heading2"/>
      </w:pPr>
      <w:r>
        <w:t>Layman Explanation</w:t>
      </w:r>
    </w:p>
    <w:p>
      <w:r>
        <w:t>This radiology report discusses       HISTORY ;ersistent left sided chest pain, known pleural mets TRO pathological fracture REPORT Left oblique view was acquired.  No grossly displaced fractures are identified in the visualized left ribs.   Note: Some of the ribs are not fully demonstrated along their entire lengths due to projectional  factors / osteopenia and the inherent technical limitations of plain film radiography. A CT study may be necessary if rib fractures are clearly suspected or clinically  evident.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