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3971</w:t>
      </w:r>
    </w:p>
    <w:p>
      <w:r>
        <w:t>Visit Number: df0471e366b30c6fb47f23f1d1bd490a8d53fb2854b73fad1c8e0acf748e7482</w:t>
      </w:r>
    </w:p>
    <w:p>
      <w:r>
        <w:t>Masked_PatientID: 3969</w:t>
      </w:r>
    </w:p>
    <w:p>
      <w:r>
        <w:t>Order ID: 393bf10dfb88811c47bcd7998eb13ae80a6b235617a6e821bfcb275aea8f60da</w:t>
      </w:r>
    </w:p>
    <w:p>
      <w:r>
        <w:t>Order Name: Chest X-ray</w:t>
      </w:r>
    </w:p>
    <w:p>
      <w:r>
        <w:t>Result Item Code: CHE-NOV</w:t>
      </w:r>
    </w:p>
    <w:p>
      <w:r>
        <w:t>Performed Date Time: 16/4/2018 13:06</w:t>
      </w:r>
    </w:p>
    <w:p>
      <w:r>
        <w:t>Line Num: 1</w:t>
      </w:r>
    </w:p>
    <w:p>
      <w:r>
        <w:t>Text:       HISTORY . follow up of severe CAP. REPORT CHEST (PA ERECT) TOTAL OF ONE IMAGE The previous chest radiograph of 27 February 2018 was reviewed with the report. In the current chest radiograph, there has been satisfactory resolution of the airspace  opacification in both lungs. Both lateral costophrenic angles are preserved.   Known / Minor  Finalised by: &lt;DOCTOR&gt;</w:t>
      </w:r>
    </w:p>
    <w:p>
      <w:r>
        <w:t>Accession Number: 4aefe297174645a62497c012ab2bccdc322dfe353c6413775601c58a6f13910f</w:t>
      </w:r>
    </w:p>
    <w:p>
      <w:r>
        <w:t>Updated Date Time: 16/4/2018 19:47</w:t>
      </w:r>
    </w:p>
    <w:p>
      <w:pPr>
        <w:pStyle w:val="Heading2"/>
      </w:pPr>
      <w:r>
        <w:t>Layman Explanation</w:t>
      </w:r>
    </w:p>
    <w:p>
      <w:r>
        <w:t>This radiology report discusses       HISTORY . follow up of severe CAP. REPORT CHEST (PA ERECT) TOTAL OF ONE IMAGE The previous chest radiograph of 27 February 2018 was reviewed with the report. In the current chest radiograph, there has been satisfactory resolution of the airspace  opacification in both lungs. Both lateral costophrenic angles are preserved.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