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3992</w:t>
      </w:r>
    </w:p>
    <w:p>
      <w:r>
        <w:t>Visit Number: 1f1f24f06d03c7e43536640f416c5619e8ce73409b6b4898d26f6647b3e19ba6</w:t>
      </w:r>
    </w:p>
    <w:p>
      <w:r>
        <w:t>Masked_PatientID: 3988</w:t>
      </w:r>
    </w:p>
    <w:p>
      <w:r>
        <w:t>Order ID: 75ebe72728ec791ed40d06312c5963942f9c21943562f72475410359f8197d04</w:t>
      </w:r>
    </w:p>
    <w:p>
      <w:r>
        <w:t>Order Name: Chest X-ray, Erect</w:t>
      </w:r>
    </w:p>
    <w:p>
      <w:r>
        <w:t>Result Item Code: CHE-ER</w:t>
      </w:r>
    </w:p>
    <w:p>
      <w:r>
        <w:t>Performed Date Time: 27/7/2018 23:31</w:t>
      </w:r>
    </w:p>
    <w:p>
      <w:r>
        <w:t>Line Num: 1</w:t>
      </w:r>
    </w:p>
    <w:p>
      <w:r>
        <w:t>Text:       HISTORY fever REPORT  Comparison chest radiograph dated 19 July 2018. Heart size cannot be assessed on the current AP projection but appears stable.  The  thoracic aorta is unfolded with intimal calcification. There is increased airspace opacification over the right mid to lower zones, likely  representing infective change in the given clinical context.  No pleural effusion  or pneumothorax is seen.   May need further action Finalised by: &lt;DOCTOR&gt;</w:t>
      </w:r>
    </w:p>
    <w:p>
      <w:r>
        <w:t>Accession Number: e42796d4023967c846dacb68bfbb3e900b7fdfc76200f22114a7db28880a2a85</w:t>
      </w:r>
    </w:p>
    <w:p>
      <w:r>
        <w:t>Updated Date Time: 28/7/2018 15:16</w:t>
      </w:r>
    </w:p>
    <w:p>
      <w:pPr>
        <w:pStyle w:val="Heading2"/>
      </w:pPr>
      <w:r>
        <w:t>Layman Explanation</w:t>
      </w:r>
    </w:p>
    <w:p>
      <w:r>
        <w:t>This radiology report discusses       HISTORY fever REPORT  Comparison chest radiograph dated 19 July 2018. Heart size cannot be assessed on the current AP projection but appears stable.  The  thoracic aorta is unfolded with intimal calcification. There is increased airspace opacification over the right mid to lower zones, likely  representing infective change in the given clinical context.  No pleural effusion  or pneumothorax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