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4231</w:t>
      </w:r>
    </w:p>
    <w:p>
      <w:r>
        <w:t>Visit Number: 51d8b363bc34cbbcd85a9d43ed4493f7732d3f702dc38bab369971c530986425</w:t>
      </w:r>
    </w:p>
    <w:p>
      <w:r>
        <w:t>Masked_PatientID: 4216</w:t>
      </w:r>
    </w:p>
    <w:p>
      <w:r>
        <w:t>Order ID: 53dc23e4be98f059004853d34598076eaaede58a7a75a3cee133574795f152d1</w:t>
      </w:r>
    </w:p>
    <w:p>
      <w:r>
        <w:t>Order Name: Chest X-ray</w:t>
      </w:r>
    </w:p>
    <w:p>
      <w:r>
        <w:t>Result Item Code: CHE-NOV</w:t>
      </w:r>
    </w:p>
    <w:p>
      <w:r>
        <w:t>Performed Date Time: 16/9/2017 18:21</w:t>
      </w:r>
    </w:p>
    <w:p>
      <w:r>
        <w:t>Line Num: 1</w:t>
      </w:r>
    </w:p>
    <w:p>
      <w:r>
        <w:t>Text:       HISTORY chest pain MI REPORT  Comparison made to the study dated 23 November 2014.  The cardiac size cannot be  accurately assessed on this projection secondary to suboptimal inspiration.  Upper  lobe diversion is noted which may represent early pulmonary oedema.  No confluent  consolidation or pleural effusion is seen.   May need further action Finalised by: &lt;DOCTOR&gt;</w:t>
      </w:r>
    </w:p>
    <w:p>
      <w:r>
        <w:t>Accession Number: cfeb093947510a0e772c5ea7cc2bfdd0c3f670e004ffd665d61e5cd68dd6b633</w:t>
      </w:r>
    </w:p>
    <w:p>
      <w:r>
        <w:t>Updated Date Time: 17/9/2017 10:24</w:t>
      </w:r>
    </w:p>
    <w:p>
      <w:pPr>
        <w:pStyle w:val="Heading2"/>
      </w:pPr>
      <w:r>
        <w:t>Layman Explanation</w:t>
      </w:r>
    </w:p>
    <w:p>
      <w:r>
        <w:t>This radiology report discusses       HISTORY chest pain MI REPORT  Comparison made to the study dated 23 November 2014.  The cardiac size cannot be  accurately assessed on this projection secondary to suboptimal inspiration.  Upper  lobe diversion is noted which may represent early pulmonary oedema.  No confluent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