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4420</w:t>
      </w:r>
    </w:p>
    <w:p>
      <w:r>
        <w:t>Visit Number: 7f409e91f15713726079c6a6f1386a8dd96b2f3bd2908f5ec3bb86853ff2607c</w:t>
      </w:r>
    </w:p>
    <w:p>
      <w:r>
        <w:t>Masked_PatientID: 4401</w:t>
      </w:r>
    </w:p>
    <w:p>
      <w:r>
        <w:t>Order ID: 425c7b9799bcc13462e4265e9c43a4bb7621b133eeac417ad03e79ad2ad74f54</w:t>
      </w:r>
    </w:p>
    <w:p>
      <w:r>
        <w:t>Order Name: Chest X-ray</w:t>
      </w:r>
    </w:p>
    <w:p>
      <w:r>
        <w:t>Result Item Code: CHE-NOV</w:t>
      </w:r>
    </w:p>
    <w:p>
      <w:r>
        <w:t>Performed Date Time: 16/3/2020 5:19</w:t>
      </w:r>
    </w:p>
    <w:p>
      <w:r>
        <w:t>Line Num: 1</w:t>
      </w:r>
    </w:p>
    <w:p>
      <w:r>
        <w:t>Text: HISTORY  pt in fluid overload REPORT Comparison:  10 March 2020. The patient is rotated, the heart size cannot be accurately assessed.  Blunting of both costophrenic angles are suggestive for either small pleural effusions  or pleural thickening. Prominent reticular densities in both lungs the suggestive  for chronic lung disease but no focal active lung lesion is demonstrated. Report Indicator: Known / Minor Finalised by: &lt;DOCTOR&gt;</w:t>
      </w:r>
    </w:p>
    <w:p>
      <w:r>
        <w:t>Accession Number: 6d92bb660c07a96e6f9537aac2767881f138ae229852d8a5bb9a66fa9c502112</w:t>
      </w:r>
    </w:p>
    <w:p>
      <w:r>
        <w:t>Updated Date Time: 17/3/2020 10:56</w:t>
      </w:r>
    </w:p>
    <w:p>
      <w:pPr>
        <w:pStyle w:val="Heading2"/>
      </w:pPr>
      <w:r>
        <w:t>Layman Explanation</w:t>
      </w:r>
    </w:p>
    <w:p>
      <w:r>
        <w:t>This radiology report discusses HISTORY  pt in fluid overload REPORT Comparison:  10 March 2020. The patient is rotated, the heart size cannot be accurately assessed.  Blunting of both costophrenic angles are suggestive for either small pleural effusions  or pleural thickening. Prominent reticular densities in both lungs the suggestive  for chronic lung disease but no focal active lung lesion is demonstrated.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