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5043</w:t>
      </w:r>
    </w:p>
    <w:p>
      <w:r>
        <w:t>Visit Number: 127ac7fe662e2f658c3019491243ac6a3bfb2897e283b790ac509001f7e3f2d5</w:t>
      </w:r>
    </w:p>
    <w:p>
      <w:r>
        <w:t>Masked_PatientID: 5039</w:t>
      </w:r>
    </w:p>
    <w:p>
      <w:r>
        <w:t>Order ID: bae884efac14dc58b1c4c5e25c160b53bd497886d2141c238a78f619b434717b</w:t>
      </w:r>
    </w:p>
    <w:p>
      <w:r>
        <w:t>Order Name: Chest X-ray</w:t>
      </w:r>
    </w:p>
    <w:p>
      <w:r>
        <w:t>Result Item Code: CHE-NOV</w:t>
      </w:r>
    </w:p>
    <w:p>
      <w:r>
        <w:t>Performed Date Time: 06/4/2015 7:15</w:t>
      </w:r>
    </w:p>
    <w:p>
      <w:r>
        <w:t>Line Num: 1</w:t>
      </w:r>
    </w:p>
    <w:p>
      <w:r>
        <w:t>Text:       HISTORY ? Pneumonia. REPORT  Previous radiograph dated 1 April 2015 was reviewed. Suboptimal inspiratory effort limits assessment of the lung bases and the cardiac  size. The aorta is unfolded with calcifications at the aortic arch. There appears to be mild increase airspace opacities in the right lower zone, with  mild peribronchial cuffing which may represent airway infection or inflammation.   Clinical correlation is suggested. Stable right lower zone linear atelectasis is seen.  A left pleural effusion is noted. Tubular structure projected over the right neck region is likely artifactual.   May need further action Finalised by: &lt;DOCTOR&gt;</w:t>
      </w:r>
    </w:p>
    <w:p>
      <w:r>
        <w:t>Accession Number: e6a419875ad2f4fc0be7165da2bf3374e281c80316721b113dc0fdebf0a21e9f</w:t>
      </w:r>
    </w:p>
    <w:p>
      <w:r>
        <w:t>Updated Date Time: 07/4/2015 12:19</w:t>
      </w:r>
    </w:p>
    <w:p>
      <w:pPr>
        <w:pStyle w:val="Heading2"/>
      </w:pPr>
      <w:r>
        <w:t>Layman Explanation</w:t>
      </w:r>
    </w:p>
    <w:p>
      <w:r>
        <w:t>This radiology report discusses       HISTORY ? Pneumonia. REPORT  Previous radiograph dated 1 April 2015 was reviewed. Suboptimal inspiratory effort limits assessment of the lung bases and the cardiac  size. The aorta is unfolded with calcifications at the aortic arch. There appears to be mild increase airspace opacities in the right lower zone, with  mild peribronchial cuffing which may represent airway infection or inflammation.   Clinical correlation is suggested. Stable right lower zone linear atelectasis is seen.  A left pleural effusion is noted. Tubular structure projected over the right neck region is likely artifactual.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