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5202</w:t>
      </w:r>
    </w:p>
    <w:p>
      <w:r>
        <w:t>Visit Number: 32b3a61bc2a7805204edb4c72d05dc6e89632d167db5ea281da19fd07d9fb2d7</w:t>
      </w:r>
    </w:p>
    <w:p>
      <w:r>
        <w:t>Masked_PatientID: 5194</w:t>
      </w:r>
    </w:p>
    <w:p>
      <w:r>
        <w:t>Order ID: 5af3a98af8d00a87a2e8abc73daabd1a73908a2febcce2efd87c2a70dfe28715</w:t>
      </w:r>
    </w:p>
    <w:p>
      <w:r>
        <w:t>Order Name: Chest X-ray PA and Lateral</w:t>
      </w:r>
    </w:p>
    <w:p>
      <w:r>
        <w:t>Result Item Code: CHE-PALAT</w:t>
      </w:r>
    </w:p>
    <w:p>
      <w:r>
        <w:t>Performed Date Time: 10/12/2020 11:23</w:t>
      </w:r>
    </w:p>
    <w:p>
      <w:r>
        <w:t>Line Num: 1</w:t>
      </w:r>
    </w:p>
    <w:p>
      <w:r>
        <w:t>Text: HISTORY  Bronchiectasis. NTM: Mycobacterium abscessus. Follow-up for interval change REPORT Previous studies:  Chest X-ray 16/03/2020;Chest X-ray 11/01/2020  The heart size and mediastinal configuration are normal.  Stable opacities in theright upper and both mid to lower zones. These are unchanged  since January 2020 and likely represent scarring. No active lung lesion is seen. Report Indicator: Known / Minor Finalised by: &lt;DOCTOR&gt;</w:t>
      </w:r>
    </w:p>
    <w:p>
      <w:r>
        <w:t>Accession Number: f07b5fd2108769ddbeff77fc412f4b8e644973174fb18d813a5b9e7fb4d0b03d</w:t>
      </w:r>
    </w:p>
    <w:p>
      <w:r>
        <w:t>Updated Date Time: 10/12/2020 12:22</w:t>
      </w:r>
    </w:p>
    <w:p>
      <w:pPr>
        <w:pStyle w:val="Heading2"/>
      </w:pPr>
      <w:r>
        <w:t>Layman Explanation</w:t>
      </w:r>
    </w:p>
    <w:p>
      <w:r>
        <w:t>This radiology report discusses HISTORY  Bronchiectasis. NTM: Mycobacterium abscessus. Follow-up for interval change REPORT Previous studies:  Chest X-ray 16/03/2020;Chest X-ray 11/01/2020  The heart size and mediastinal configuration are normal.  Stable opacities in theright upper and both mid to lower zones. These are unchanged  since January 2020 and likely represent scarring. No active lung lesion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