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5408</w:t>
      </w:r>
    </w:p>
    <w:p>
      <w:r>
        <w:t>Visit Number: 46cb2182df260c67226a721fde92eef51c1ad819ecbb5cba508898b06fc77185</w:t>
      </w:r>
    </w:p>
    <w:p>
      <w:r>
        <w:t>Masked_PatientID: 5387</w:t>
      </w:r>
    </w:p>
    <w:p>
      <w:r>
        <w:t>Order ID: f648d4a77f1d827ba7a423bb6926edd15674d26fe7ab144301aa1875716418ed</w:t>
      </w:r>
    </w:p>
    <w:p>
      <w:r>
        <w:t>Order Name: Chest X-ray</w:t>
      </w:r>
    </w:p>
    <w:p>
      <w:r>
        <w:t>Result Item Code: CHE-NOV</w:t>
      </w:r>
    </w:p>
    <w:p>
      <w:r>
        <w:t>Performed Date Time: 25/2/2018 22:29</w:t>
      </w:r>
    </w:p>
    <w:p>
      <w:r>
        <w:t>Line Num: 1</w:t>
      </w:r>
    </w:p>
    <w:p>
      <w:r>
        <w:t>Text:       HISTORY post ecmo cannula implantatio; post CVC insertion REPORT  Supine portable Comparison study:  25/02/2018 The heart size cannot be accurately assessed. Diffuse bilateral airspace shadowing, worse on the left compatible with acute respiratory  distress syndrome. The left side shows interval progression.  Bilateral pleural effusions  are noted.  There is right-sided subcutaneous emphysema. The cope loop drainage catheter is seen in the right lung field.  Endotracheal tube  position is satisfactory.  Right bronchial stent noted.  Tip of the central venous  line is in the superior vena cava.   May need further action Finalised by: &lt;DOCTOR&gt;</w:t>
      </w:r>
    </w:p>
    <w:p>
      <w:r>
        <w:t>Accession Number: 0f2cfba1f36c98869914660c0984fec33befb9fd57479d3df4410a89c459a16b</w:t>
      </w:r>
    </w:p>
    <w:p>
      <w:r>
        <w:t>Updated Date Time: 26/2/2018 16:49</w:t>
      </w:r>
    </w:p>
    <w:p>
      <w:pPr>
        <w:pStyle w:val="Heading2"/>
      </w:pPr>
      <w:r>
        <w:t>Layman Explanation</w:t>
      </w:r>
    </w:p>
    <w:p>
      <w:r>
        <w:t>This radiology report discusses       HISTORY post ecmo cannula implantatio; post CVC insertion REPORT  Supine portable Comparison study:  25/02/2018 The heart size cannot be accurately assessed. Diffuse bilateral airspace shadowing, worse on the left compatible with acute respiratory  distress syndrome. The left side shows interval progression.  Bilateral pleural effusions  are noted.  There is right-sided subcutaneous emphysema. The cope loop drainage catheter is seen in the right lung field.  Endotracheal tube  position is satisfactory.  Right bronchial stent noted.  Tip of the central venous  line is in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