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5750</w:t>
      </w:r>
    </w:p>
    <w:p>
      <w:r>
        <w:t>Visit Number: 7e63fbb507b051b7742fd5734569c67ad77747b1dc9371b88f7ae9cf67658c66</w:t>
      </w:r>
    </w:p>
    <w:p>
      <w:r>
        <w:t>Masked_PatientID: 5735</w:t>
      </w:r>
    </w:p>
    <w:p>
      <w:r>
        <w:t>Order ID: 0d8306a04470aab74758a821dd79b46ad02603201fbe2088e87cbe9753ddf479</w:t>
      </w:r>
    </w:p>
    <w:p>
      <w:r>
        <w:t>Order Name: Chest X-ray, Erect</w:t>
      </w:r>
    </w:p>
    <w:p>
      <w:r>
        <w:t>Result Item Code: CHE-ER</w:t>
      </w:r>
    </w:p>
    <w:p>
      <w:r>
        <w:t>Performed Date Time: 05/1/2017 14:31</w:t>
      </w:r>
    </w:p>
    <w:p>
      <w:r>
        <w:t>Line Num: 1</w:t>
      </w:r>
    </w:p>
    <w:p>
      <w:r>
        <w:t>Text:       HISTORY ESRF  for Peritoneal Dialysis REPORT  Prior radiograph dated 19/11/2016 was reviewed. The right-sided dialysis catheter tip is projected over the right atrium. The heart size is at the upper limit of normal.  The thoracicaorta is unfolded.  There has been suboptimal inspiratory effort.  However no active lung lesion is seen. Stable resorption of the distal clavicles bilaterally  in keeping with changes of  renal osteodystrophy.    Known / Minor  Finalised by: &lt;DOCTOR&gt;</w:t>
      </w:r>
    </w:p>
    <w:p>
      <w:r>
        <w:t>Accession Number: 8978141cc62d9ca68c591c10160b3e141c8fa41f5390a9b71bf427ffae183878</w:t>
      </w:r>
    </w:p>
    <w:p>
      <w:r>
        <w:t>Updated Date Time: 05/1/2017 16:57</w:t>
      </w:r>
    </w:p>
    <w:p>
      <w:pPr>
        <w:pStyle w:val="Heading2"/>
      </w:pPr>
      <w:r>
        <w:t>Layman Explanation</w:t>
      </w:r>
    </w:p>
    <w:p>
      <w:r>
        <w:t>This radiology report discusses       HISTORY ESRF  for Peritoneal Dialysis REPORT  Prior radiograph dated 19/11/2016 was reviewed. The right-sided dialysis catheter tip is projected over the right atrium. The heart size is at the upper limit of normal.  The thoracicaorta is unfolded.  There has been suboptimal inspiratory effort.  However no active lung lesion is seen. Stable resorption of the distal clavicles bilaterally  in keeping with changes of  renal osteodystrophy.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