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5878</w:t>
      </w:r>
    </w:p>
    <w:p>
      <w:r>
        <w:t>Visit Number: 6fd813f5e35249e3cee2cdf417eca8490515ac37cdfca19bc5e331eb36e8bc66</w:t>
      </w:r>
    </w:p>
    <w:p>
      <w:r>
        <w:t>Masked_PatientID: 5874</w:t>
      </w:r>
    </w:p>
    <w:p>
      <w:r>
        <w:t>Order ID: c015e0bac239b332e534c202b20890b3805e80723c2a076a3aad52366d1fedc4</w:t>
      </w:r>
    </w:p>
    <w:p>
      <w:r>
        <w:t>Order Name: Chest X-ray</w:t>
      </w:r>
    </w:p>
    <w:p>
      <w:r>
        <w:t>Result Item Code: CHE-NOV</w:t>
      </w:r>
    </w:p>
    <w:p>
      <w:r>
        <w:t>Performed Date Time: 03/2/2019 11:10</w:t>
      </w:r>
    </w:p>
    <w:p>
      <w:r>
        <w:t>Line Num: 1</w:t>
      </w:r>
    </w:p>
    <w:p>
      <w:r>
        <w:t>Text:       HISTORY SOB with fluid overload, b/g CKD, HFrEF REPORT  Prior radiograph dated 28 January 2019 was reviewed. The patient is rotated with suboptimal chest expansion limiting assessment of the  lungs. The heart size cannot be accurately assessed. Patchy air space opacities in the bilateral lower zones, more prominent in the left  lower zone above the diaphragm, are nonspecific for infective changes or atelectasis. Prominent bowel loops are noted.  If there is suspicion of dilated bowel loops, dedicated  abdominal radiograph will be useful.   Further action or early intervention required Finalised by: &lt;DOCTOR&gt;</w:t>
      </w:r>
    </w:p>
    <w:p>
      <w:r>
        <w:t>Accession Number: ed6d08f66c5f350fbd63aabdff8845c1fff08573458503c24c3075fe17aa0d2a</w:t>
      </w:r>
    </w:p>
    <w:p>
      <w:r>
        <w:t>Updated Date Time: 04/2/2019 8:16</w:t>
      </w:r>
    </w:p>
    <w:p>
      <w:pPr>
        <w:pStyle w:val="Heading2"/>
      </w:pPr>
      <w:r>
        <w:t>Layman Explanation</w:t>
      </w:r>
    </w:p>
    <w:p>
      <w:r>
        <w:t>This radiology report discusses       HISTORY SOB with fluid overload, b/g CKD, HFrEF REPORT  Prior radiograph dated 28 January 2019 was reviewed. The patient is rotated with suboptimal chest expansion limiting assessment of the  lungs. The heart size cannot be accurately assessed. Patchy air space opacities in the bilateral lower zones, more prominent in the left  lower zone above the diaphragm, are nonspecific for infective changes or atelectasis. Prominent bowel loops are noted.  If there is suspicion of dilated bowel loops, dedicated  abdominal radiograph will be useful.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