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594</w:t>
      </w:r>
    </w:p>
    <w:p>
      <w:r>
        <w:t>Visit Number: 8a2f60f04a35607ff9f7613847e065725ec2a8faaef372edf837a86fc9caf422</w:t>
      </w:r>
    </w:p>
    <w:p>
      <w:r>
        <w:t>Masked_PatientID: 589</w:t>
      </w:r>
    </w:p>
    <w:p>
      <w:r>
        <w:t>Order ID: 65b911c83f62c6786150e32ffad47726e7a9a544e029cbec2ae3d36a9a96927e</w:t>
      </w:r>
    </w:p>
    <w:p>
      <w:r>
        <w:t>Order Name: Chest X-ray, Erect</w:t>
      </w:r>
    </w:p>
    <w:p>
      <w:r>
        <w:t>Result Item Code: CHE-ER</w:t>
      </w:r>
    </w:p>
    <w:p>
      <w:r>
        <w:t>Performed Date Time: 04/6/2019 15:08</w:t>
      </w:r>
    </w:p>
    <w:p>
      <w:r>
        <w:t>Line Num: 1</w:t>
      </w:r>
    </w:p>
    <w:p>
      <w:r>
        <w:t>Text: HISTORY  SOB at rest a few months b/g ILD REPORT Comparison was made with the previous chest radiograph dated 14 December 2018. A coronary stent is noted in situ. The heart size cannot be accurately assessed in the AP projection. Diffuse reticular opacities are again seen in both lungs, more prominent at the peripheries  and in keeping with known history of interstitial lung disease. There is stable lung  volume loss bilaterally. No confluent consolidation or pleural effusion is seen. An old left clavicular fracture is noted. Report Indicator: Known / Minor Finalised by: &lt;DOCTOR&gt;</w:t>
      </w:r>
    </w:p>
    <w:p>
      <w:r>
        <w:t>Accession Number: 16fc3aa3489a1ba02180dea6892929be99a9d3127ca8d93fa2201363aa6adc2a</w:t>
      </w:r>
    </w:p>
    <w:p>
      <w:r>
        <w:t>Updated Date Time: 05/6/2019 8:44</w:t>
      </w:r>
    </w:p>
    <w:p>
      <w:pPr>
        <w:pStyle w:val="Heading2"/>
      </w:pPr>
      <w:r>
        <w:t>Layman Explanation</w:t>
      </w:r>
    </w:p>
    <w:p>
      <w:r>
        <w:t>This radiology report discusses HISTORY  SOB at rest a few months b/g ILD REPORT Comparison was made with the previous chest radiograph dated 14 December 2018. A coronary stent is noted in situ. The heart size cannot be accurately assessed in the AP projection. Diffuse reticular opacities are again seen in both lungs, more prominent at the peripheries  and in keeping with known history of interstitial lung disease. There is stable lung  volume loss bilaterally. No confluent consolidation or pleural effusion is seen. An old left clavicular fracture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