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6201</w:t>
      </w:r>
    </w:p>
    <w:p>
      <w:r>
        <w:t>Visit Number: 9fcbb189caa3c4876fde54be6513e8957aae83eb3b64ed3f378cde25436e4cb5</w:t>
      </w:r>
    </w:p>
    <w:p>
      <w:r>
        <w:t>Masked_PatientID: 6191</w:t>
      </w:r>
    </w:p>
    <w:p>
      <w:r>
        <w:t>Order ID: 3d8fcab69da1b6c5dece851c0095f4c2c8269239a1c39f356bda851c4e3556ea</w:t>
      </w:r>
    </w:p>
    <w:p>
      <w:r>
        <w:t>Order Name: Chest X-ray</w:t>
      </w:r>
    </w:p>
    <w:p>
      <w:r>
        <w:t>Result Item Code: CHE-NOV</w:t>
      </w:r>
    </w:p>
    <w:p>
      <w:r>
        <w:t>Performed Date Time: 21/2/2020 1:37</w:t>
      </w:r>
    </w:p>
    <w:p>
      <w:r>
        <w:t>Line Num: 1</w:t>
      </w:r>
    </w:p>
    <w:p>
      <w:r>
        <w:t>Text: HISTORY  pathological fracture REPORT Supine chest radiograph Comparison is made with the previous graft dated 01/02/2020. The heart size cannot be accurately assessed on this current AP projection. The thoracic  aorta is unfolded and there is mural calcification. No consolidation or pleural effusion. There is stable bilateral rib fractures. The spine shows degenerative changes. Report Indicator: Known / Minor Reported by: &lt;DOCTOR&gt;</w:t>
      </w:r>
    </w:p>
    <w:p>
      <w:r>
        <w:t>Accession Number: f8fa9dfa336a214f16b11ecc28e2909c75b3fb1817162b88502957336fcc0111</w:t>
      </w:r>
    </w:p>
    <w:p>
      <w:r>
        <w:t>Updated Date Time: 21/2/2020 12:30</w:t>
      </w:r>
    </w:p>
    <w:p>
      <w:pPr>
        <w:pStyle w:val="Heading2"/>
      </w:pPr>
      <w:r>
        <w:t>Layman Explanation</w:t>
      </w:r>
    </w:p>
    <w:p>
      <w:r>
        <w:t>This radiology report discusses HISTORY  pathological fracture REPORT Supine chest radiograph Comparison is made with the previous graft dated 01/02/2020. The heart size cannot be accurately assessed on this current AP projection. The thoracic  aorta is unfolded and there is mural calcification. No consolidation or pleural effusion. There is stable bilateral rib fractures. The spine shows degenerative changes.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