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6202</w:t>
      </w:r>
    </w:p>
    <w:p>
      <w:r>
        <w:t>Visit Number: 32d506a4b5971ee32d4f7fe3f8be65f478f45b6d7735b652183a05d30fb20fcd</w:t>
      </w:r>
    </w:p>
    <w:p>
      <w:r>
        <w:t>Masked_PatientID: 6191</w:t>
      </w:r>
    </w:p>
    <w:p>
      <w:r>
        <w:t>Order ID: 1073cb4bede4321f38ee1134774d9539e6d5bad86494309df3b8b0e41d397132</w:t>
      </w:r>
    </w:p>
    <w:p>
      <w:r>
        <w:t>Order Name: Chest X-ray</w:t>
      </w:r>
    </w:p>
    <w:p>
      <w:r>
        <w:t>Result Item Code: CHE-NOV</w:t>
      </w:r>
    </w:p>
    <w:p>
      <w:r>
        <w:t>Performed Date Time: 30/8/2017 11:34</w:t>
      </w:r>
    </w:p>
    <w:p>
      <w:r>
        <w:t>Line Num: 1</w:t>
      </w:r>
    </w:p>
    <w:p>
      <w:r>
        <w:t>Text:       HISTORY . cough with fever.  bilateral creps. REPORT CHEST (PA ERECT) TOTAL OF ONE IMAGE The heart shadow and mediastinum are difficult to assess for size and configuration  given the limited inspiration and patient rotation.  There is patchy air space opacification in both lungs compatible with pneumonia associated  with bilateral basal pleural effusions.   There are fractures of the ribs on both sides of various ages with callus formation. The left second and third ribs are especially deformed.   Further action or early intervention required Finalised by: &lt;DOCTOR&gt;</w:t>
      </w:r>
    </w:p>
    <w:p>
      <w:r>
        <w:t>Accession Number: 4c8252baa44bc3011cd8a43c4512918f9ad0e31a4ee7ab211391418a12d1801b</w:t>
      </w:r>
    </w:p>
    <w:p>
      <w:r>
        <w:t>Updated Date Time: 01/9/2017 12:38</w:t>
      </w:r>
    </w:p>
    <w:p>
      <w:pPr>
        <w:pStyle w:val="Heading2"/>
      </w:pPr>
      <w:r>
        <w:t>Layman Explanation</w:t>
      </w:r>
    </w:p>
    <w:p>
      <w:r>
        <w:t>This radiology report discusses       HISTORY . cough with fever.  bilateral creps. REPORT CHEST (PA ERECT) TOTAL OF ONE IMAGE The heart shadow and mediastinum are difficult to assess for size and configuration  given the limited inspiration and patient rotation.  There is patchy air space opacification in both lungs compatible with pneumonia associated  with bilateral basal pleural effusions.   There are fractures of the ribs on both sides of various ages with callus formation. The left second and third ribs are especially deformed.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