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7258</w:t>
      </w:r>
    </w:p>
    <w:p>
      <w:r>
        <w:t>Visit Number: afb8f7d78d33b6e528a0c991e7c6daa400df56ad3639eff104aa8986bbf25262</w:t>
      </w:r>
    </w:p>
    <w:p>
      <w:r>
        <w:t>Masked_PatientID: 7195</w:t>
      </w:r>
    </w:p>
    <w:p>
      <w:r>
        <w:t>Order ID: 0d52a574e2969f185fc7d3ed602963f7d5f346ec8eaca167047763ec782dcfb3</w:t>
      </w:r>
    </w:p>
    <w:p>
      <w:r>
        <w:t>Order Name: Chest X-ray</w:t>
      </w:r>
    </w:p>
    <w:p>
      <w:r>
        <w:t>Result Item Code: CHE-NOV</w:t>
      </w:r>
    </w:p>
    <w:p>
      <w:r>
        <w:t>Performed Date Time: 28/1/2017 7:13</w:t>
      </w:r>
    </w:p>
    <w:p>
      <w:r>
        <w:t>Line Num: 1</w:t>
      </w:r>
    </w:p>
    <w:p>
      <w:r>
        <w:t>Text:       HISTORY Co2 retention REPORT  Compared with a study dated 27 January 2017 The tip of the endotracheal tube is located 2 cm above the level of the carina. The  left central venous lines and feeding tubes are satisfactory position.   Median sternotomy wires and vascular clips are in keeping with prior CABG.   There is borderline cardiomegaly with prominent pulmonary vasculature.  Diffuse air  space opacities in both lungs remain stable associated with sliver of bilateral pleural  effusions.  No evidence of pneumothorax   May need further action Finalised by: &lt;DOCTOR&gt;</w:t>
      </w:r>
    </w:p>
    <w:p>
      <w:r>
        <w:t>Accession Number: 65a837a1e9ec20c8ffe5853bc1fc22f6247c73929d1a410fb438b56391f600c0</w:t>
      </w:r>
    </w:p>
    <w:p>
      <w:r>
        <w:t>Updated Date Time: 29/1/2017 16:50</w:t>
      </w:r>
    </w:p>
    <w:p>
      <w:pPr>
        <w:pStyle w:val="Heading2"/>
      </w:pPr>
      <w:r>
        <w:t>Layman Explanation</w:t>
      </w:r>
    </w:p>
    <w:p>
      <w:r>
        <w:t>This radiology report discusses       HISTORY Co2 retention REPORT  Compared with a study dated 27 January 2017 The tip of the endotracheal tube is located 2 cm above the level of the carina. The  left central venous lines and feeding tubes are satisfactory position.   Median sternotomy wires and vascular clips are in keeping with prior CABG.   There is borderline cardiomegaly with prominent pulmonary vasculature.  Diffuse air  space opacities in both lungs remain stable associated with sliver of bilateral pleural  effusions.  No evidence of pneumothorax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