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7614</w:t>
      </w:r>
    </w:p>
    <w:p>
      <w:r>
        <w:t>Visit Number: 156e4f43a5ee7ed1bb7d64462bac7c2bfa8fed45832bf57d4bee36bd3fe08ab5</w:t>
      </w:r>
    </w:p>
    <w:p>
      <w:r>
        <w:t>Masked_PatientID: 7600</w:t>
      </w:r>
    </w:p>
    <w:p>
      <w:r>
        <w:t>Order ID: 83b1b5f19ad1c185e69226e004961faf69460927478747cd2bacf5f627e31592</w:t>
      </w:r>
    </w:p>
    <w:p>
      <w:r>
        <w:t>Order Name: Chest X-ray</w:t>
      </w:r>
    </w:p>
    <w:p>
      <w:r>
        <w:t>Result Item Code: CHE-NOV</w:t>
      </w:r>
    </w:p>
    <w:p>
      <w:r>
        <w:t>Performed Date Time: 20/4/2016 19:05</w:t>
      </w:r>
    </w:p>
    <w:p>
      <w:r>
        <w:t>Line Num: 1</w:t>
      </w:r>
    </w:p>
    <w:p>
      <w:r>
        <w:t>Text:       HISTORY Post ECMO explant REPORT Mobile radiograph chest supine. Prior radiograph dated  20/04/2016 taken at 05:04 a.m.  was reviewed. Interval removal of the ECMO catheter from the IVC was noted. The pulmonary artery  catheter, left IJ catheter, endotracheal tube, feeding tube, prosthetic cardiac valve,  bilateral chest tubes, LVAD, mediastinal drains are in situ.  The pulmonary oedema  and air space opacities are significantly unchanged.  Prior CABG.     May need further action Finalised by: &lt;DOCTOR&gt;</w:t>
      </w:r>
    </w:p>
    <w:p>
      <w:r>
        <w:t>Accession Number: 93c03ed1e4e26f8c775d7256cf78b2ad86aeb7e7c6ab724450945c277978ec61</w:t>
      </w:r>
    </w:p>
    <w:p>
      <w:r>
        <w:t>Updated Date Time: 21/4/2016 12:37</w:t>
      </w:r>
    </w:p>
    <w:p>
      <w:pPr>
        <w:pStyle w:val="Heading2"/>
      </w:pPr>
      <w:r>
        <w:t>Layman Explanation</w:t>
      </w:r>
    </w:p>
    <w:p>
      <w:r>
        <w:t>This radiology report discusses       HISTORY Post ECMO explant REPORT Mobile radiograph chest supine. Prior radiograph dated  20/04/2016 taken at 05:04 a.m.  was reviewed. Interval removal of the ECMO catheter from the IVC was noted. The pulmonary artery  catheter, left IJ catheter, endotracheal tube, feeding tube, prosthetic cardiac valve,  bilateral chest tubes, LVAD, mediastinal drains are in situ.  The pulmonary oedema  and air space opacities are significantly unchanged.  Prior CABG.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