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8438</w:t>
      </w:r>
    </w:p>
    <w:p>
      <w:r>
        <w:t>Visit Number: 8c8714023f9c19eba8993fe780237b746a8442bc9b61eb5e9a4ad49c9a45825a</w:t>
      </w:r>
    </w:p>
    <w:p>
      <w:r>
        <w:t>Masked_PatientID: 8431</w:t>
      </w:r>
    </w:p>
    <w:p>
      <w:r>
        <w:t>Order ID: 4df977d0b662e9316f77efa917011abdfb6124fe1f15bc89004599cea70a4efe</w:t>
      </w:r>
    </w:p>
    <w:p>
      <w:r>
        <w:t>Order Name: Chest X-ray</w:t>
      </w:r>
    </w:p>
    <w:p>
      <w:r>
        <w:t>Result Item Code: CHE-NOV</w:t>
      </w:r>
    </w:p>
    <w:p>
      <w:r>
        <w:t>Performed Date Time: 26/7/2015 18:17</w:t>
      </w:r>
    </w:p>
    <w:p>
      <w:r>
        <w:t>Line Num: 1</w:t>
      </w:r>
    </w:p>
    <w:p>
      <w:r>
        <w:t>Text:       HISTORY chest pain REPORT  No prior relevant studies available for comparison. Cardiomediastinal silhouette is within normal limits.   Increased interstitial lung markings over bilateral mid to lower zones with bilateral  Kerley B lines are suspicious for pulmonary venous congestion, however superimposed  infective change cannot be excluded in the appropriate clinical context.     May need further action Finalised by: &lt;DOCTOR&gt;</w:t>
      </w:r>
    </w:p>
    <w:p>
      <w:r>
        <w:t>Accession Number: d8bb723f1c4e74da9c4a0150c60a7541217f699d969a60168c81a6f50278ad84</w:t>
      </w:r>
    </w:p>
    <w:p>
      <w:r>
        <w:t>Updated Date Time: 27/7/2015 20:48</w:t>
      </w:r>
    </w:p>
    <w:p>
      <w:pPr>
        <w:pStyle w:val="Heading2"/>
      </w:pPr>
      <w:r>
        <w:t>Layman Explanation</w:t>
      </w:r>
    </w:p>
    <w:p>
      <w:r>
        <w:t>This radiology report discusses       HISTORY chest pain REPORT  No prior relevant studies available for comparison. Cardiomediastinal silhouette is within normal limits.   Increased interstitial lung markings over bilateral mid to lower zones with bilateral  Kerley B lines are suspicious for pulmonary venous congestion, however superimposed  infective change cannot be excluded in the appropriate clinical context.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