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9321</w:t>
      </w:r>
    </w:p>
    <w:p>
      <w:r>
        <w:t>Visit Number: d8fdbbfbc48a565517192b524e0e52ca4bd6bbf53e93dc8377c351673196bd69</w:t>
      </w:r>
    </w:p>
    <w:p>
      <w:r>
        <w:t>Masked_PatientID: 9321</w:t>
      </w:r>
    </w:p>
    <w:p>
      <w:r>
        <w:t>Order ID: ae76932de37d09e7f0eb4f232615e53f340d08a2ffbb88e33cf786962c844386</w:t>
      </w:r>
    </w:p>
    <w:p>
      <w:r>
        <w:t>Order Name: Chest X-ray</w:t>
      </w:r>
    </w:p>
    <w:p>
      <w:r>
        <w:t>Result Item Code: CHE-NOV</w:t>
      </w:r>
    </w:p>
    <w:p>
      <w:r>
        <w:t>Performed Date Time: 22/1/2019 16:34</w:t>
      </w:r>
    </w:p>
    <w:p>
      <w:r>
        <w:t>Line Num: 1</w:t>
      </w:r>
    </w:p>
    <w:p>
      <w:r>
        <w:t>Text:       HISTORY CAP, trace resolution of prev CXR findings REPORT The cardiac shadow is normal in size.  There is resolution of the infective changes in the upper and mid zones of the lungs  compared with the image dated 9/12/2018.  Both the costophrenic angles are sharp.   Normal Finalised by: &lt;DOCTOR&gt;</w:t>
      </w:r>
    </w:p>
    <w:p>
      <w:r>
        <w:t>Accession Number: 88f44d444cd244c2ace75dede5dc8d08c6833d9cd9414a625f73ee9b9452cb59</w:t>
      </w:r>
    </w:p>
    <w:p>
      <w:r>
        <w:t>Updated Date Time: 23/1/2019 9:50</w:t>
      </w:r>
    </w:p>
    <w:p>
      <w:pPr>
        <w:pStyle w:val="Heading2"/>
      </w:pPr>
      <w:r>
        <w:t>Layman Explanation</w:t>
      </w:r>
    </w:p>
    <w:p>
      <w:r>
        <w:t>This radiology report discusses       HISTORY CAP, trace resolution of prev CXR findings REPORT The cardiac shadow is normal in size.  There is resolution of the infective changes in the upper and mid zones of the lungs  compared with the image dated 9/12/2018.  Both the costophrenic angles are sharp.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