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9501</w:t>
      </w:r>
    </w:p>
    <w:p>
      <w:r>
        <w:t>Visit Number: 1fff2c8ed56268b952692e52d7887f2607eecaa74540e80f224ae6556dae8224</w:t>
      </w:r>
    </w:p>
    <w:p>
      <w:r>
        <w:t>Masked_PatientID: 9473</w:t>
      </w:r>
    </w:p>
    <w:p>
      <w:r>
        <w:t>Order ID: 3d1943c1fb8464ccfa2a7a73f110ab3f19fb1ae9c77ab4e1c0b18105e8635a7d</w:t>
      </w:r>
    </w:p>
    <w:p>
      <w:r>
        <w:t>Order Name: Chest X-ray, Erect</w:t>
      </w:r>
    </w:p>
    <w:p>
      <w:r>
        <w:t>Result Item Code: CHE-ER</w:t>
      </w:r>
    </w:p>
    <w:p>
      <w:r>
        <w:t>Performed Date Time: 19/8/2016 14:10</w:t>
      </w:r>
    </w:p>
    <w:p>
      <w:r>
        <w:t>Line Num: 1</w:t>
      </w:r>
    </w:p>
    <w:p>
      <w:r>
        <w:t>Text:       HISTORY AMS REPORT Comparison dated 13/8/2016. NG tube, right chest tube and right PICC remain in unchanged position.  Cardiac silhouette  is within normal limits for size.  Lung volumes are reduced likely due to poor inspiratory  effort. Interval development of a right lateral pneumothorax with interpleural distance measuring  up to 11 mm.  Follow-up recommended. Atelectasis in left mid and lower lung zones noted.  Remaining lung fields are otherwise  aerated.  Soft tissues and osseous structures are unchanged.   Further action or early intervention required Finalised by: &lt;DOCTOR&gt;</w:t>
      </w:r>
    </w:p>
    <w:p>
      <w:r>
        <w:t>Accession Number: ac0071d44ee9f1f5ec5037b06730c54383d8c61ff32c0af1cefe52d16fab9545</w:t>
      </w:r>
    </w:p>
    <w:p>
      <w:r>
        <w:t>Updated Date Time: 19/8/2016 21:57</w:t>
      </w:r>
    </w:p>
    <w:p>
      <w:pPr>
        <w:pStyle w:val="Heading2"/>
      </w:pPr>
      <w:r>
        <w:t>Layman Explanation</w:t>
      </w:r>
    </w:p>
    <w:p>
      <w:r>
        <w:t>This radiology report discusses       HISTORY AMS REPORT Comparison dated 13/8/2016. NG tube, right chest tube and right PICC remain in unchanged position.  Cardiac silhouette  is within normal limits for size.  Lung volumes are reduced likely due to poor inspiratory  effort. Interval development of a right lateral pneumothorax with interpleural distance measuring  up to 11 mm.  Follow-up recommended. Atelectasis in left mid and lower lung zones noted.  Remaining lung fields are otherwise  aerated.  Soft tissues and osseous structures are unchanged.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