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9622</w:t>
      </w:r>
    </w:p>
    <w:p>
      <w:r>
        <w:t>Visit Number: bfa086b776c59c80e58dc8501e880a3ff3d1c4d5fbce30a1d2a1f73c2ff57b7e</w:t>
      </w:r>
    </w:p>
    <w:p>
      <w:r>
        <w:t>Masked_PatientID: 9608</w:t>
      </w:r>
    </w:p>
    <w:p>
      <w:r>
        <w:t>Order ID: 3e1bfe9a07dc25d25dc504583801178428ba075916493ac1963d81316f8a3b9b</w:t>
      </w:r>
    </w:p>
    <w:p>
      <w:r>
        <w:t>Order Name: Chest X-ray</w:t>
      </w:r>
    </w:p>
    <w:p>
      <w:r>
        <w:t>Result Item Code: CHE-NOV</w:t>
      </w:r>
    </w:p>
    <w:p>
      <w:r>
        <w:t>Performed Date Time: 24/4/2018 18:55</w:t>
      </w:r>
    </w:p>
    <w:p>
      <w:r>
        <w:t>Line Num: 1</w:t>
      </w:r>
    </w:p>
    <w:p>
      <w:r>
        <w:t>Text:       HISTORY chest discomfort REPORT Comparison was made with the previous radiograph dated 16 April 2018.  The tip of the PICC line is projected over the expected position of the SVC. The  heart is enlarged. Atherosclerosis of theaorta is noted.    Interval worsening of bilateral perihilar and lower zones airspace opacities are  noted, possibly infective/inflammatory in nature. Small bilateral pleural effusions  may be present.    Further action or early intervention required Finalised by: &lt;DOCTOR&gt;</w:t>
      </w:r>
    </w:p>
    <w:p>
      <w:r>
        <w:t>Accession Number: 0b9c2ff3c41ae87b891dd0e5b5282ca217c4bc491674a994deb6745545753b45</w:t>
      </w:r>
    </w:p>
    <w:p>
      <w:r>
        <w:t>Updated Date Time: 25/4/2018 9:36</w:t>
      </w:r>
    </w:p>
    <w:p>
      <w:pPr>
        <w:pStyle w:val="Heading2"/>
      </w:pPr>
      <w:r>
        <w:t>Layman Explanation</w:t>
      </w:r>
    </w:p>
    <w:p>
      <w:r>
        <w:t>This radiology report discusses       HISTORY chest discomfort REPORT Comparison was made with the previous radiograph dated 16 April 2018.  The tip of the PICC line is projected over the expected position of the SVC. The  heart is enlarged. Atherosclerosis of theaorta is noted.    Interval worsening of bilateral perihilar and lower zones airspace opacities are  noted, possibly infective/inflammatory in nature. Small bilateral pleural effusions  may be present.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