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9753</w:t>
      </w:r>
    </w:p>
    <w:p>
      <w:r>
        <w:t>Visit Number: 2e48b652e6eccfaf263185626566a4150d40d58ecfe924b80429696d9c6d1039</w:t>
      </w:r>
    </w:p>
    <w:p>
      <w:r>
        <w:t>Masked_PatientID: 9729</w:t>
      </w:r>
    </w:p>
    <w:p>
      <w:r>
        <w:t>Order ID: 55b49ffd1e5beb5ae1b31f779cf8b9837c0b4e878f61921687e0ad3f24a4cb0f</w:t>
      </w:r>
    </w:p>
    <w:p>
      <w:r>
        <w:t>Order Name: Chest X-ray</w:t>
      </w:r>
    </w:p>
    <w:p>
      <w:r>
        <w:t>Result Item Code: CHE-NOV</w:t>
      </w:r>
    </w:p>
    <w:p>
      <w:r>
        <w:t>Performed Date Time: 20/3/2019 20:46</w:t>
      </w:r>
    </w:p>
    <w:p>
      <w:r>
        <w:t>Line Num: 1</w:t>
      </w:r>
    </w:p>
    <w:p>
      <w:r>
        <w:t>Text: HISTORY  check NGT placement REPORT Chest X-ray: AP sitting Prior radiograph of 19 March 2019 and CT study of 15 March 2019 were reviewed. The patient is rotated. The distal aspect of the feeding tube is coiled with tip projected adjacent to the  gastro-oesophageal junction. Repositioning is suggested. Heart size cannot be accurately assessed in this projection. Hazy opacification seen in bilateral lower zones, likely related to residual pleural  effusions as shown on previous study.Degenerative changes are seen in the imaged spine. Prominent calcific density overlying  the right second rib appears stable since prior studies, may represent callus from  previous fracture. Report Indicator: May need further action Finalised by: &lt;DOCTOR&gt;</w:t>
      </w:r>
    </w:p>
    <w:p>
      <w:r>
        <w:t>Accession Number: d286c4b57fd32910760c51d44f11fd152bfd0adb4b549a538444a2eb20cb7922</w:t>
      </w:r>
    </w:p>
    <w:p>
      <w:r>
        <w:t>Updated Date Time: 21/3/2019 0:51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