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9818</w:t>
      </w:r>
    </w:p>
    <w:p>
      <w:r>
        <w:t>Visit Number: aa55549fc28d998fcb32759afb2602dd25ecd3a3629a4b9a45aef6a572d48b96</w:t>
      </w:r>
    </w:p>
    <w:p>
      <w:r>
        <w:t>Masked_PatientID: 9808</w:t>
      </w:r>
    </w:p>
    <w:p>
      <w:r>
        <w:t>Order ID: 2ac35038bbf239f83fc1b0735a473b3835d167c8dac9f18d7a496d9d5c40026f</w:t>
      </w:r>
    </w:p>
    <w:p>
      <w:r>
        <w:t>Order Name: Chest X-ray, Erect</w:t>
      </w:r>
    </w:p>
    <w:p>
      <w:r>
        <w:t>Result Item Code: CHE-ER</w:t>
      </w:r>
    </w:p>
    <w:p>
      <w:r>
        <w:t>Performed Date Time: 18/1/2016 14:37</w:t>
      </w:r>
    </w:p>
    <w:p>
      <w:r>
        <w:t>Line Num: 1</w:t>
      </w:r>
    </w:p>
    <w:p>
      <w:r>
        <w:t>Text:       HISTORY ?IO REPORT  Comparison was made with previous radiograph of 2 January 2016. There is no free subdiaphragmatic gas. The heart is not large.  The lungs appear hyperinflated.  Reticular densities in  bilateral perihilar regions appear largely stable since 16 February 2015, possibly  representing sequela of prior infective change.  There are stable fibrocalcific changes  in the right upper and middle zones.  No focal consolidation, pleural effusion or  pneumothoraxis seen.   Known / Minor  Finalised by: &lt;DOCTOR&gt;</w:t>
      </w:r>
    </w:p>
    <w:p>
      <w:r>
        <w:t>Accession Number: 5b7d5ede1e30be1e3caebb9e42e86bc074ef0cdd14b89bf49292e0079a12337a</w:t>
      </w:r>
    </w:p>
    <w:p>
      <w:r>
        <w:t>Updated Date Time: 19/1/2016 10:13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