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9819</w:t>
      </w:r>
    </w:p>
    <w:p>
      <w:r>
        <w:t>Visit Number: d2881a09c4c492d8f4e8568b0ac4d1adf7b2d3af5916f5f4bcc5ecbed425f7cd</w:t>
      </w:r>
    </w:p>
    <w:p>
      <w:r>
        <w:t>Masked_PatientID: 9808</w:t>
      </w:r>
    </w:p>
    <w:p>
      <w:r>
        <w:t>Order ID: df2c92132c9921121fa85973f9b005c282f8a7453f851d2f3545280114ac6f6a</w:t>
      </w:r>
    </w:p>
    <w:p>
      <w:r>
        <w:t>Order Name: Chest X-ray</w:t>
      </w:r>
    </w:p>
    <w:p>
      <w:r>
        <w:t>Result Item Code: CHE-NOV</w:t>
      </w:r>
    </w:p>
    <w:p>
      <w:r>
        <w:t>Performed Date Time: 28/1/2016 18:49</w:t>
      </w:r>
    </w:p>
    <w:p>
      <w:r>
        <w:t>Line Num: 1</w:t>
      </w:r>
    </w:p>
    <w:p>
      <w:r>
        <w:t>Text:       HISTORY abdominal pain REPORT  Comparison was made with previous radiograph of 18 January 2016. There is free subdiaphragmatic gas. The heart is not enlarged.  No focal consolidation, pleural effusion or pneumothorax  is seen.  A few vague nodular opacities are projected over bilateral middle zones.   The left lung lesions appear stable since 16 February 2015, and likely represent  chronic inflammatory or infective change.   However, opacities measuring approximately0.9 cm projected over the right middle  zone and 1.9 cm in the right lower zone (abutting the diaphragm) appear new since  16 February 2015.  These are nonspecific, possibly representing infective change,  but clinical correlation and follow-up isadvised.   Further action or early intervention required Finalised by: &lt;DOCTOR&gt;</w:t>
      </w:r>
    </w:p>
    <w:p>
      <w:r>
        <w:t>Accession Number: 5bb8b553947864d52ae565a01c9a7b9bb19b2816de732d00d0d54923459a8d5e</w:t>
      </w:r>
    </w:p>
    <w:p>
      <w:r>
        <w:t>Updated Date Time: 29/1/2016 10:28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